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40045840"/>
      <w:bookmarkStart w:id="2" w:name="_Toc128451845"/>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p>
    <w:p>
      <w:pPr>
        <w:autoSpaceDE w:val="0"/>
        <w:autoSpaceDN w:val="0"/>
        <w:adjustRightInd w:val="0"/>
        <w:jc w:val="center"/>
        <w:rPr>
          <w:rFonts w:hint="eastAsia" w:eastAsia="黑体" w:cs="Calibri"/>
          <w:b/>
          <w:sz w:val="44"/>
          <w:szCs w:val="44"/>
        </w:rPr>
      </w:pPr>
      <w:r>
        <w:rPr>
          <w:rFonts w:hint="eastAsia" w:eastAsia="黑体" w:cs="Calibri"/>
          <w:b/>
          <w:sz w:val="44"/>
          <w:szCs w:val="44"/>
        </w:rPr>
        <w:t xml:space="preserve">    </w:t>
      </w:r>
      <w:r>
        <w:rPr>
          <w:rFonts w:hint="eastAsia" w:eastAsia="黑体" w:cs="Calibri"/>
          <w:b/>
          <w:sz w:val="44"/>
          <w:szCs w:val="44"/>
          <w:u w:val="single"/>
        </w:rPr>
        <w:t xml:space="preserve">  机坪车辆车载GPS设备使用服务 </w:t>
      </w:r>
      <w:r>
        <w:rPr>
          <w:rFonts w:hint="eastAsia" w:eastAsia="黑体" w:cs="Calibri"/>
          <w:b/>
          <w:sz w:val="44"/>
          <w:szCs w:val="44"/>
        </w:rPr>
        <w:t>项目</w:t>
      </w:r>
    </w:p>
    <w:p>
      <w:pPr>
        <w:autoSpaceDE w:val="0"/>
        <w:autoSpaceDN w:val="0"/>
        <w:adjustRightInd w:val="0"/>
        <w:jc w:val="center"/>
        <w:rPr>
          <w:rFonts w:hint="eastAsia" w:eastAsia="黑体" w:cs="Calibri"/>
          <w:b/>
          <w:sz w:val="44"/>
          <w:szCs w:val="44"/>
          <w:lang w:val="en-US" w:eastAsia="zh-CN"/>
        </w:rPr>
      </w:pPr>
      <w:r>
        <w:rPr>
          <w:rFonts w:hint="eastAsia" w:eastAsia="黑体" w:cs="Calibri"/>
          <w:b/>
          <w:sz w:val="44"/>
          <w:szCs w:val="44"/>
          <w:lang w:val="en-US" w:eastAsia="zh-CN"/>
        </w:rPr>
        <w:t>（重新招标）</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21"/>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一九年</w:t>
      </w:r>
      <w:r>
        <w:rPr>
          <w:rFonts w:hint="eastAsia" w:ascii="Calibri" w:hAnsi="Calibri" w:eastAsia="黑体" w:cs="Calibri"/>
          <w:sz w:val="32"/>
          <w:szCs w:val="32"/>
          <w:u w:val="single"/>
        </w:rPr>
        <w:t xml:space="preserve"> 十一 </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30"/>
        <w:rPr>
          <w:rFonts w:ascii="Calibri" w:cs="Calibri"/>
          <w:b/>
          <w:color w:val="000000"/>
          <w:sz w:val="44"/>
        </w:rPr>
      </w:pPr>
      <w:bookmarkStart w:id="3" w:name="_Toc386359390"/>
      <w:bookmarkStart w:id="4" w:name="_Toc349007685"/>
      <w:bookmarkStart w:id="5" w:name="_Toc349011855"/>
      <w:bookmarkStart w:id="6" w:name="_Toc386363314"/>
      <w:r>
        <w:rPr>
          <w:rFonts w:hint="eastAsia" w:ascii="Calibri" w:cs="Calibri"/>
          <w:b/>
          <w:color w:val="000000"/>
          <w:sz w:val="44"/>
        </w:rPr>
        <w:t xml:space="preserve"> </w:t>
      </w:r>
    </w:p>
    <w:p>
      <w:pPr>
        <w:pStyle w:val="30"/>
        <w:rPr>
          <w:rFonts w:ascii="Calibri" w:hAnsi="Calibri" w:cs="Calibri"/>
          <w:b/>
          <w:color w:val="000000"/>
          <w:sz w:val="44"/>
        </w:rPr>
      </w:pPr>
      <w:bookmarkStart w:id="7" w:name="_Toc444811406"/>
      <w:bookmarkStart w:id="8" w:name="_Toc444173456"/>
      <w:bookmarkStart w:id="9" w:name="_Toc400369182"/>
      <w:bookmarkStart w:id="10" w:name="_Toc444174976"/>
      <w:bookmarkStart w:id="11" w:name="_Toc448002981"/>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30"/>
        <w:spacing w:line="480" w:lineRule="auto"/>
        <w:rPr>
          <w:rFonts w:ascii="黑体" w:hAnsi="黑体" w:eastAsia="黑体" w:cstheme="minorBidi"/>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30"/>
        <w:spacing w:line="480" w:lineRule="auto"/>
        <w:rPr>
          <w:rFonts w:ascii="黑体" w:hAnsi="黑体" w:eastAsia="黑体" w:cstheme="minorBidi"/>
          <w:bCs w:val="0"/>
          <w:kern w:val="2"/>
          <w:sz w:val="22"/>
          <w:szCs w:val="22"/>
        </w:rPr>
      </w:pPr>
      <w:r>
        <w:fldChar w:fldCharType="begin"/>
      </w:r>
      <w:r>
        <w:instrText xml:space="preserve"> HYPERLINK \l "_Toc448002982" </w:instrText>
      </w:r>
      <w:r>
        <w:fldChar w:fldCharType="separate"/>
      </w:r>
      <w:r>
        <w:rPr>
          <w:rStyle w:val="50"/>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cstheme="minorBidi"/>
          <w:bCs w:val="0"/>
          <w:kern w:val="2"/>
          <w:sz w:val="22"/>
          <w:szCs w:val="22"/>
        </w:rPr>
      </w:pPr>
      <w:r>
        <w:fldChar w:fldCharType="begin"/>
      </w:r>
      <w:r>
        <w:instrText xml:space="preserve"> HYPERLINK \l "_Toc448002983" </w:instrText>
      </w:r>
      <w:r>
        <w:fldChar w:fldCharType="separate"/>
      </w:r>
      <w:r>
        <w:rPr>
          <w:rStyle w:val="50"/>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cstheme="minorBidi"/>
          <w:bCs w:val="0"/>
          <w:kern w:val="2"/>
          <w:sz w:val="22"/>
          <w:szCs w:val="22"/>
        </w:rPr>
      </w:pPr>
      <w:r>
        <w:fldChar w:fldCharType="begin"/>
      </w:r>
      <w:r>
        <w:instrText xml:space="preserve"> HYPERLINK \l "_Toc448002985" </w:instrText>
      </w:r>
      <w:r>
        <w:fldChar w:fldCharType="separate"/>
      </w:r>
      <w:r>
        <w:rPr>
          <w:rStyle w:val="50"/>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- 11 -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cstheme="minorBidi"/>
          <w:bCs w:val="0"/>
          <w:kern w:val="2"/>
          <w:sz w:val="22"/>
          <w:szCs w:val="22"/>
        </w:rPr>
      </w:pPr>
      <w:r>
        <w:fldChar w:fldCharType="begin"/>
      </w:r>
      <w:r>
        <w:instrText xml:space="preserve"> HYPERLINK \l "_Toc448002986" </w:instrText>
      </w:r>
      <w:r>
        <w:fldChar w:fldCharType="separate"/>
      </w:r>
      <w:r>
        <w:rPr>
          <w:rStyle w:val="50"/>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- 12 -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cstheme="minorBidi"/>
          <w:bCs w:val="0"/>
          <w:kern w:val="2"/>
          <w:sz w:val="22"/>
          <w:szCs w:val="22"/>
        </w:rPr>
      </w:pPr>
      <w:r>
        <w:fldChar w:fldCharType="begin"/>
      </w:r>
      <w:r>
        <w:instrText xml:space="preserve"> HYPERLINK \l "_Toc448002987" </w:instrText>
      </w:r>
      <w:r>
        <w:fldChar w:fldCharType="separate"/>
      </w:r>
      <w:r>
        <w:rPr>
          <w:rStyle w:val="50"/>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- 13 -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cstheme="minorBidi"/>
          <w:bCs w:val="0"/>
          <w:kern w:val="2"/>
          <w:sz w:val="22"/>
          <w:szCs w:val="22"/>
        </w:rPr>
      </w:pPr>
      <w:r>
        <w:fldChar w:fldCharType="begin"/>
      </w:r>
      <w:r>
        <w:instrText xml:space="preserve"> HYPERLINK \l "_Toc448002988" </w:instrText>
      </w:r>
      <w:r>
        <w:fldChar w:fldCharType="separate"/>
      </w:r>
      <w:r>
        <w:rPr>
          <w:rStyle w:val="50"/>
          <w:rFonts w:hint="eastAsia" w:ascii="黑体" w:hAnsi="黑体" w:eastAsia="黑体" w:cs="Calibri"/>
          <w:kern w:val="0"/>
          <w:sz w:val="22"/>
          <w:szCs w:val="22"/>
        </w:rPr>
        <w:t>第五章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- 16 -</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2"/>
        <w:spacing w:before="0" w:after="0" w:line="360" w:lineRule="auto"/>
        <w:jc w:val="center"/>
        <w:rPr>
          <w:rFonts w:ascii="Calibri" w:eastAsia="黑体" w:cs="Calibri"/>
          <w:kern w:val="0"/>
          <w:sz w:val="32"/>
        </w:rPr>
      </w:pPr>
      <w:r>
        <w:rPr>
          <w:rFonts w:ascii="Calibri" w:hAnsi="Calibri" w:cs="Calibri"/>
          <w:color w:val="000000"/>
        </w:rPr>
        <w:br w:type="page"/>
      </w:r>
      <w:bookmarkEnd w:id="0"/>
      <w:bookmarkEnd w:id="1"/>
      <w:bookmarkEnd w:id="2"/>
      <w:bookmarkStart w:id="12" w:name="_Toc8110"/>
      <w:bookmarkStart w:id="13" w:name="_Toc6581"/>
      <w:bookmarkStart w:id="14" w:name="_Toc6832"/>
      <w:bookmarkStart w:id="15" w:name="_Toc24932"/>
      <w:bookmarkStart w:id="16" w:name="_Toc24784"/>
      <w:bookmarkStart w:id="17" w:name="_Toc14628"/>
      <w:bookmarkStart w:id="18" w:name="_Toc18642"/>
      <w:bookmarkStart w:id="19" w:name="_Toc22293"/>
      <w:bookmarkStart w:id="20" w:name="_Toc7641"/>
      <w:bookmarkStart w:id="21" w:name="_Toc448002982"/>
      <w:bookmarkStart w:id="22" w:name="_Toc248766631"/>
      <w:bookmarkStart w:id="23" w:name="_Toc249322950"/>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rPr>
        <w:t xml:space="preserve"> 机坪车辆车载GPS</w:t>
      </w:r>
      <w:r>
        <w:rPr>
          <w:rFonts w:hint="eastAsia" w:ascii="Times New Roman" w:hAnsi="Times New Roman"/>
          <w:szCs w:val="21"/>
        </w:rPr>
        <w:t>设备使用</w:t>
      </w:r>
      <w:r>
        <w:rPr>
          <w:rFonts w:hint="eastAsia" w:ascii="宋体" w:hAnsi="宋体" w:cs="Arial"/>
          <w:kern w:val="0"/>
          <w:sz w:val="22"/>
          <w:u w:val="single"/>
        </w:rPr>
        <w:t xml:space="preserve">服务 </w:t>
      </w:r>
      <w:r>
        <w:rPr>
          <w:rFonts w:ascii="宋体" w:hAnsi="宋体" w:cs="Arial"/>
          <w:kern w:val="0"/>
          <w:sz w:val="22"/>
        </w:rPr>
        <w:t>项目</w:t>
      </w:r>
      <w:r>
        <w:rPr>
          <w:rFonts w:hint="eastAsia" w:ascii="宋体" w:hAnsi="宋体" w:cs="Arial"/>
          <w:kern w:val="0"/>
          <w:sz w:val="22"/>
        </w:rPr>
        <w:t>已批准，项目业主为杭州萧山国际机场有限公司，资金来源为自筹。项目已具备招标条件，现对本项目进行公开招标。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w:t>
      </w:r>
      <w:r>
        <w:rPr>
          <w:rFonts w:ascii="宋体" w:hAnsi="宋体" w:cs="Arial"/>
          <w:kern w:val="0"/>
          <w:sz w:val="22"/>
        </w:rPr>
        <w:t>项目位于</w:t>
      </w:r>
      <w:r>
        <w:rPr>
          <w:rFonts w:hint="eastAsia" w:ascii="宋体" w:hAnsi="宋体" w:cs="Arial"/>
          <w:kern w:val="0"/>
          <w:sz w:val="22"/>
          <w:u w:val="single"/>
        </w:rPr>
        <w:t xml:space="preserve">杭州萧山国际机场内 </w:t>
      </w:r>
      <w:r>
        <w:rPr>
          <w:rFonts w:ascii="宋体" w:hAnsi="宋体" w:cs="Arial"/>
          <w:kern w:val="0"/>
          <w:sz w:val="22"/>
        </w:rPr>
        <w:t>，</w:t>
      </w:r>
      <w:r>
        <w:rPr>
          <w:rFonts w:hint="eastAsia" w:ascii="宋体" w:hAnsi="宋体" w:cs="Arial"/>
          <w:kern w:val="0"/>
          <w:sz w:val="22"/>
        </w:rPr>
        <w:t>具体要求详见第三章“服务技术标准及要求”。</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（3）招标内容：杭州萧山国际机场机坪车辆车载GPS设备使用服务。</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（4）服务期： 2020年1月1日至2020年12月31日。</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w:t>
      </w:r>
      <w:r>
        <w:rPr>
          <w:rFonts w:ascii="宋体" w:hAnsi="宋体" w:cs="Arial"/>
          <w:kern w:val="0"/>
          <w:sz w:val="22"/>
        </w:rPr>
        <w:t>具有独立法人资格，持有有效营业执照</w:t>
      </w:r>
      <w:r>
        <w:rPr>
          <w:rFonts w:hint="eastAsia" w:ascii="宋体" w:hAnsi="宋体" w:cs="Arial"/>
          <w:kern w:val="0"/>
          <w:sz w:val="22"/>
        </w:rPr>
        <w:t>，注册资金不少于人民币</w:t>
      </w:r>
      <w:r>
        <w:rPr>
          <w:rFonts w:hint="eastAsia" w:ascii="宋体" w:hAnsi="宋体" w:cs="Arial"/>
          <w:kern w:val="0"/>
          <w:sz w:val="22"/>
          <w:u w:val="single"/>
        </w:rPr>
        <w:t xml:space="preserve">  100 </w:t>
      </w:r>
      <w:r>
        <w:rPr>
          <w:rFonts w:hint="eastAsia" w:ascii="宋体" w:hAnsi="宋体" w:cs="Arial"/>
          <w:kern w:val="0"/>
          <w:sz w:val="22"/>
        </w:rPr>
        <w:t>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近年（2016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（5）近三年（</w:t>
      </w:r>
      <w:r>
        <w:rPr>
          <w:rFonts w:hint="eastAsia" w:ascii="宋体;SimSun" w:hAnsi="宋体;SimSun" w:cs="Calibri"/>
          <w:bCs/>
          <w:sz w:val="22"/>
        </w:rPr>
        <w:t>合同</w:t>
      </w:r>
      <w:r>
        <w:rPr>
          <w:rFonts w:ascii="宋体;SimSun" w:hAnsi="宋体;SimSun" w:cs="Calibri"/>
          <w:bCs/>
          <w:sz w:val="22"/>
        </w:rPr>
        <w:t>签订时间或部分服务期在</w:t>
      </w:r>
      <w:r>
        <w:rPr>
          <w:rFonts w:hint="eastAsia" w:ascii="宋体;SimSun" w:hAnsi="宋体;SimSun" w:cs="宋体;SimSun"/>
          <w:bCs/>
          <w:sz w:val="22"/>
        </w:rPr>
        <w:t>2016</w:t>
      </w:r>
      <w:r>
        <w:rPr>
          <w:rFonts w:hint="eastAsia" w:ascii="宋体;SimSun" w:hAnsi="宋体;SimSun" w:cs="Calibri"/>
          <w:bCs/>
          <w:sz w:val="22"/>
        </w:rPr>
        <w:t>年</w:t>
      </w:r>
      <w:r>
        <w:rPr>
          <w:rFonts w:hint="eastAsia" w:ascii="宋体;SimSun" w:hAnsi="宋体;SimSun" w:cs="宋体;SimSun"/>
          <w:bCs/>
          <w:sz w:val="22"/>
        </w:rPr>
        <w:t>1</w:t>
      </w:r>
      <w:r>
        <w:rPr>
          <w:rFonts w:hint="eastAsia" w:ascii="宋体;SimSun" w:hAnsi="宋体;SimSun" w:cs="Calibri"/>
          <w:bCs/>
          <w:sz w:val="22"/>
        </w:rPr>
        <w:t>月</w:t>
      </w:r>
      <w:r>
        <w:rPr>
          <w:rFonts w:hint="eastAsia" w:ascii="宋体;SimSun" w:hAnsi="宋体;SimSun" w:cs="宋体;SimSun"/>
          <w:bCs/>
          <w:sz w:val="22"/>
        </w:rPr>
        <w:t>1</w:t>
      </w:r>
      <w:r>
        <w:rPr>
          <w:rFonts w:hint="eastAsia" w:ascii="宋体;SimSun" w:hAnsi="宋体;SimSun" w:cs="Calibri"/>
          <w:bCs/>
          <w:sz w:val="22"/>
        </w:rPr>
        <w:t>日至</w:t>
      </w:r>
      <w:r>
        <w:rPr>
          <w:rFonts w:hint="eastAsia" w:ascii="宋体;SimSun" w:hAnsi="宋体;SimSun" w:cs="宋体;SimSun"/>
          <w:bCs/>
          <w:sz w:val="22"/>
        </w:rPr>
        <w:t>投标截止日之内）</w:t>
      </w:r>
      <w:r>
        <w:rPr>
          <w:rFonts w:hint="eastAsia" w:ascii="宋体;SimSun" w:hAnsi="宋体;SimSun" w:cs="Calibri"/>
          <w:bCs/>
          <w:sz w:val="22"/>
        </w:rPr>
        <w:t>在中国大陆（不含台港澳）</w:t>
      </w:r>
      <w:r>
        <w:rPr>
          <w:rFonts w:hint="eastAsia" w:ascii="宋体" w:hAnsi="宋体" w:cs="Arial"/>
          <w:kern w:val="0"/>
          <w:sz w:val="22"/>
        </w:rPr>
        <w:t>具有类似项目业绩。需提供合同复印件并加盖公章作为证明材料，原件备查。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（6）本次招标不接受联合体投标。</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（1）投标文件递交截止时间：</w:t>
      </w:r>
      <w:r>
        <w:rPr>
          <w:rFonts w:hint="eastAsia" w:ascii="宋体" w:hAnsi="宋体" w:cs="Arial"/>
          <w:kern w:val="0"/>
          <w:sz w:val="22"/>
          <w:lang w:eastAsia="zh-CN"/>
        </w:rPr>
        <w:t>2020年1月14日下午13时45分</w:t>
      </w:r>
      <w:r>
        <w:rPr>
          <w:rFonts w:hint="eastAsia" w:ascii="宋体" w:hAnsi="宋体" w:cs="Arial"/>
          <w:kern w:val="0"/>
          <w:sz w:val="22"/>
        </w:rPr>
        <w:t>（北京时间）。投标文件在封口处加盖公章，并派专人于</w:t>
      </w:r>
      <w:r>
        <w:rPr>
          <w:rFonts w:hint="eastAsia" w:ascii="宋体" w:hAnsi="宋体" w:cs="Arial"/>
          <w:kern w:val="0"/>
          <w:sz w:val="22"/>
          <w:lang w:eastAsia="zh-CN"/>
        </w:rPr>
        <w:t>2020年1月14日下午13时45分</w:t>
      </w:r>
      <w:r>
        <w:rPr>
          <w:rFonts w:hint="eastAsia" w:ascii="宋体" w:hAnsi="宋体" w:cs="Arial"/>
          <w:kern w:val="0"/>
          <w:sz w:val="22"/>
        </w:rPr>
        <w:t>（北京时间）前送至杭州萧山国际机场翔越路综合服务楼园区招标中心，逾期无效；若采用投递（邮寄）方式的，请于</w:t>
      </w:r>
      <w:r>
        <w:rPr>
          <w:rFonts w:hint="eastAsia" w:ascii="宋体" w:hAnsi="宋体" w:cs="Arial"/>
          <w:kern w:val="0"/>
          <w:sz w:val="22"/>
          <w:lang w:eastAsia="zh-CN"/>
        </w:rPr>
        <w:t>2020年1月14日下午13时45分</w:t>
      </w:r>
      <w:r>
        <w:rPr>
          <w:rFonts w:hint="eastAsia" w:ascii="宋体" w:hAnsi="宋体" w:cs="Arial"/>
          <w:kern w:val="0"/>
          <w:sz w:val="22"/>
        </w:rPr>
        <w:t>（北京时间）前投递至杭州萧山国际机场翔越路综合服务楼园区招标中心，逾期无效。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Cs w:val="21"/>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adjustRightInd w:val="0"/>
        <w:snapToGrid w:val="0"/>
        <w:spacing w:line="340" w:lineRule="exact"/>
        <w:ind w:firstLine="440" w:firstLineChars="200"/>
        <w:rPr>
          <w:rFonts w:ascii="宋体" w:hAnsi="宋体"/>
          <w:sz w:val="22"/>
        </w:rPr>
      </w:pPr>
      <w:r>
        <w:rPr>
          <w:rFonts w:hint="eastAsia" w:ascii="宋体" w:hAnsi="宋体"/>
          <w:sz w:val="22"/>
        </w:rPr>
        <w:t>投标联系人：贾思勰        联系电话：0571-83837612</w:t>
      </w:r>
    </w:p>
    <w:p>
      <w:pPr>
        <w:widowControl/>
        <w:adjustRightInd w:val="0"/>
        <w:snapToGrid w:val="0"/>
        <w:spacing w:line="340" w:lineRule="exact"/>
        <w:ind w:firstLine="440" w:firstLineChars="200"/>
        <w:rPr>
          <w:rFonts w:ascii="宋体" w:hAnsi="宋体"/>
          <w:bCs/>
          <w:sz w:val="22"/>
        </w:rPr>
      </w:pPr>
      <w:r>
        <w:rPr>
          <w:rFonts w:hint="eastAsia" w:ascii="宋体" w:hAnsi="宋体"/>
          <w:bCs/>
          <w:sz w:val="22"/>
        </w:rPr>
        <w:t>招标监督人：刘闻捷         联系电话：</w:t>
      </w:r>
      <w:r>
        <w:rPr>
          <w:rFonts w:hint="eastAsia" w:ascii="宋体" w:hAnsi="宋体"/>
          <w:sz w:val="22"/>
        </w:rPr>
        <w:t xml:space="preserve"> 0571-8666213</w:t>
      </w:r>
      <w:r>
        <w:rPr>
          <w:rFonts w:ascii="宋体" w:hAnsi="宋体"/>
          <w:sz w:val="22"/>
        </w:rPr>
        <w:t>4</w:t>
      </w:r>
    </w:p>
    <w:p>
      <w:pPr>
        <w:widowControl/>
        <w:adjustRightInd w:val="0"/>
        <w:snapToGrid w:val="0"/>
        <w:spacing w:line="340" w:lineRule="exact"/>
        <w:ind w:firstLine="440" w:firstLineChars="200"/>
        <w:rPr>
          <w:rFonts w:ascii="宋体" w:hAnsi="宋体"/>
          <w:sz w:val="22"/>
        </w:rPr>
      </w:pPr>
    </w:p>
    <w:p>
      <w:pPr>
        <w:pStyle w:val="2"/>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22"/>
      <w:bookmarkEnd w:id="23"/>
      <w:bookmarkEnd w:id="24"/>
      <w:bookmarkStart w:id="25" w:name="_Toc143421654"/>
    </w:p>
    <w:p>
      <w:pPr>
        <w:pStyle w:val="129"/>
        <w:jc w:val="center"/>
        <w:rPr>
          <w:rFonts w:ascii="Calibri" w:hAnsi="Calibri" w:eastAsia="黑体" w:cs="Calibri"/>
          <w:kern w:val="2"/>
          <w:sz w:val="28"/>
          <w:szCs w:val="32"/>
        </w:rPr>
      </w:pPr>
      <w:bookmarkStart w:id="26" w:name="_Toc448002984"/>
      <w:bookmarkStart w:id="27" w:name="_Toc386363317"/>
      <w:bookmarkStart w:id="28" w:name="_Toc444174979"/>
      <w:bookmarkStart w:id="29" w:name="_Toc349011858"/>
      <w:bookmarkStart w:id="30" w:name="_Toc444811409"/>
      <w:bookmarkStart w:id="31" w:name="_Toc386359393"/>
      <w:bookmarkStart w:id="32" w:name="_Toc349007688"/>
      <w:bookmarkStart w:id="33" w:name="_Toc444173459"/>
      <w:bookmarkStart w:id="34" w:name="_Toc400369185"/>
      <w:bookmarkStart w:id="35" w:name="_Toc11881"/>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53"/>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sz w:val="22"/>
              </w:rPr>
              <w:t>1.1</w:t>
            </w:r>
            <w:r>
              <w:rPr>
                <w:rFonts w:hint="eastAsia" w:cs="Calibri" w:asciiTheme="minorEastAsia" w:hAnsiTheme="minorEastAsia" w:eastAsiaTheme="minorEastAsia"/>
                <w:sz w:val="22"/>
              </w:rPr>
              <w:t>.1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项目名称</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Arial"/>
                <w:kern w:val="0"/>
                <w:sz w:val="22"/>
              </w:rPr>
              <w:t>杭州萧山国际机场机坪车辆车载GPS设备使用服务项目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sz w:val="22"/>
              </w:rPr>
            </w:pPr>
            <w:r>
              <w:rPr>
                <w:rFonts w:cs="Calibri" w:asciiTheme="minorEastAsia" w:hAnsiTheme="minorEastAsia" w:eastAsiaTheme="minorEastAsia"/>
                <w:sz w:val="22"/>
              </w:rPr>
              <w:t>1.1.2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实施</w:t>
            </w:r>
            <w:r>
              <w:rPr>
                <w:rFonts w:cs="Calibri" w:asciiTheme="minorEastAsia" w:hAnsiTheme="minorEastAsia" w:eastAsiaTheme="minorEastAsia"/>
                <w:kern w:val="0"/>
                <w:sz w:val="22"/>
              </w:rPr>
              <w:t>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资金来源</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Style w:val="65"/>
                <w:rFonts w:hint="eastAsia" w:cs="Calibri" w:asciiTheme="minorEastAsia" w:hAnsiTheme="minorEastAsia" w:eastAsiaTheme="minorEastAsia"/>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招标</w:t>
            </w:r>
            <w:r>
              <w:rPr>
                <w:rFonts w:hint="eastAsia" w:cs="Calibri" w:asciiTheme="minorEastAsia" w:hAnsiTheme="minorEastAsia" w:eastAsiaTheme="minorEastAsia"/>
                <w:kern w:val="0"/>
                <w:sz w:val="22"/>
              </w:rPr>
              <w:t>内容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见招标公告，具体要求详见第</w:t>
            </w:r>
            <w:r>
              <w:rPr>
                <w:rFonts w:hint="eastAsia" w:cs="Calibri" w:asciiTheme="minorEastAsia" w:hAnsiTheme="minorEastAsia" w:eastAsiaTheme="minorEastAsia"/>
                <w:kern w:val="0"/>
                <w:sz w:val="22"/>
              </w:rPr>
              <w:t>三</w:t>
            </w:r>
            <w:r>
              <w:rPr>
                <w:rFonts w:cs="Calibri" w:asciiTheme="minorEastAsia" w:hAnsiTheme="minorEastAsia" w:eastAsiaTheme="minorEastAsia"/>
                <w:kern w:val="0"/>
                <w:sz w:val="22"/>
              </w:rPr>
              <w:t>章“</w:t>
            </w:r>
            <w:r>
              <w:rPr>
                <w:rFonts w:hint="eastAsia" w:cs="Calibri" w:asciiTheme="minorEastAsia" w:hAnsiTheme="minorEastAsia" w:eastAsiaTheme="minorEastAsia"/>
                <w:kern w:val="0"/>
                <w:sz w:val="22"/>
              </w:rPr>
              <w:t>服务技术标准及要求</w:t>
            </w:r>
            <w:r>
              <w:rPr>
                <w:rFonts w:cs="Calibri" w:asciiTheme="minorEastAsia" w:hAnsiTheme="minorEastAsia" w:eastAsiaTheme="minorEastAsia"/>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招标方式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资格审查</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6</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投标人资质条件、能力和信誉</w:t>
            </w:r>
          </w:p>
        </w:tc>
        <w:tc>
          <w:tcPr>
            <w:tcW w:w="6487" w:type="dxa"/>
            <w:vAlign w:val="center"/>
          </w:tcPr>
          <w:p>
            <w:pPr>
              <w:autoSpaceDE w:val="0"/>
              <w:autoSpaceDN w:val="0"/>
              <w:adjustRightInd w:val="0"/>
              <w:snapToGrid w:val="0"/>
              <w:rPr>
                <w:rFonts w:cs="Calibri" w:asciiTheme="minorEastAsia" w:hAnsiTheme="minorEastAsia" w:eastAsiaTheme="minorEastAsia"/>
                <w:color w:val="FF0000"/>
                <w:kern w:val="0"/>
                <w:sz w:val="22"/>
              </w:rPr>
            </w:pPr>
            <w:r>
              <w:rPr>
                <w:rFonts w:cs="Calibri" w:asciiTheme="minorEastAsia" w:hAnsiTheme="minorEastAsia" w:eastAsiaTheme="minorEastAsia"/>
                <w:kern w:val="0"/>
                <w:sz w:val="22"/>
              </w:rPr>
              <w:t>详见招标公告</w:t>
            </w:r>
            <w:r>
              <w:rPr>
                <w:rFonts w:hint="eastAsia" w:cs="Calibri" w:asciiTheme="minorEastAsia" w:hAnsiTheme="minorEastAsia" w:eastAsiaTheme="minorEastAsia"/>
                <w:kern w:val="0"/>
                <w:sz w:val="22"/>
              </w:rPr>
              <w:t>“</w:t>
            </w:r>
            <w:r>
              <w:rPr>
                <w:rFonts w:hint="eastAsia" w:cs="黑体" w:asciiTheme="minorEastAsia" w:hAnsiTheme="minorEastAsia" w:eastAsiaTheme="minorEastAsia"/>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7</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服务期</w:t>
            </w:r>
          </w:p>
        </w:tc>
        <w:tc>
          <w:tcPr>
            <w:tcW w:w="6487" w:type="dxa"/>
            <w:vAlign w:val="center"/>
          </w:tcPr>
          <w:p>
            <w:pPr>
              <w:rPr>
                <w:rFonts w:asciiTheme="minorEastAsia" w:hAnsiTheme="minorEastAsia" w:eastAsiaTheme="minorEastAsia"/>
                <w:color w:val="000000"/>
                <w:sz w:val="22"/>
              </w:rPr>
            </w:pPr>
            <w:r>
              <w:rPr>
                <w:rFonts w:hint="eastAsia" w:asciiTheme="minorEastAsia" w:hAnsiTheme="minorEastAsia" w:eastAsiaTheme="minorEastAsia"/>
                <w:color w:val="000000"/>
                <w:sz w:val="22"/>
                <w:u w:val="single"/>
              </w:rPr>
              <w:t>2020年1月1日至2020年12月31日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1.8</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质量要求</w:t>
            </w:r>
          </w:p>
        </w:tc>
        <w:tc>
          <w:tcPr>
            <w:tcW w:w="6487" w:type="dxa"/>
            <w:vAlign w:val="center"/>
          </w:tcPr>
          <w:p>
            <w:pPr>
              <w:rPr>
                <w:rFonts w:asciiTheme="minorEastAsia" w:hAnsiTheme="minorEastAsia" w:eastAsiaTheme="minorEastAsia"/>
                <w:color w:val="000000"/>
                <w:sz w:val="22"/>
              </w:rPr>
            </w:pPr>
            <w:r>
              <w:rPr>
                <w:rFonts w:hint="eastAsia" w:asciiTheme="minorEastAsia" w:hAnsiTheme="minorEastAsia" w:eastAsiaTheme="minorEastAsia"/>
                <w:iCs/>
                <w:sz w:val="22"/>
              </w:rPr>
              <w:t>符</w:t>
            </w:r>
            <w:r>
              <w:rPr>
                <w:rFonts w:hint="eastAsia" w:asciiTheme="minorEastAsia" w:hAnsiTheme="minorEastAsia" w:eastAsiaTheme="minorEastAsia"/>
                <w:sz w:val="22"/>
              </w:rPr>
              <w:t>合国家现行</w:t>
            </w:r>
            <w:r>
              <w:rPr>
                <w:rFonts w:hint="eastAsia" w:asciiTheme="minorEastAsia" w:hAnsiTheme="minorEastAsia" w:eastAsiaTheme="minorEastAsia"/>
                <w:sz w:val="22"/>
                <w:u w:val="single"/>
              </w:rPr>
              <w:t xml:space="preserve"> 相关 </w:t>
            </w:r>
            <w:r>
              <w:rPr>
                <w:rFonts w:hint="eastAsia" w:asciiTheme="minorEastAsia" w:hAnsiTheme="minorEastAsia" w:eastAsiaTheme="minorEastAsia"/>
                <w:sz w:val="22"/>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9</w:t>
            </w:r>
            <w:r>
              <w:rPr>
                <w:rFonts w:cs="Calibri" w:asciiTheme="minorEastAsia" w:hAnsiTheme="minorEastAsia" w:eastAsiaTheme="minorEastAsia"/>
                <w:kern w:val="0"/>
                <w:sz w:val="22"/>
              </w:rPr>
              <w:t>.1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踏勘现场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不组织</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□组织，踏勘时间：</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w:t>
            </w:r>
            <w:r>
              <w:rPr>
                <w:rFonts w:hint="eastAsia" w:cs="Calibri" w:asciiTheme="minorEastAsia" w:hAnsiTheme="minorEastAsia" w:eastAsiaTheme="minorEastAsia"/>
                <w:kern w:val="0"/>
                <w:sz w:val="22"/>
              </w:rPr>
              <w:t>10</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投标预备会</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不召开</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□召开，召开时间：</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2.2.1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投标人提出问题的截止时间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2</w:t>
            </w:r>
            <w:r>
              <w:rPr>
                <w:rFonts w:hint="eastAsia" w:ascii="宋体" w:hAnsi="宋体" w:cs="Calibri"/>
                <w:kern w:val="0"/>
                <w:sz w:val="22"/>
                <w:lang w:val="en-US" w:eastAsia="zh-CN"/>
              </w:rPr>
              <w:t>020</w:t>
            </w:r>
            <w:r>
              <w:rPr>
                <w:rFonts w:hint="eastAsia" w:ascii="宋体" w:hAnsi="宋体" w:cs="Calibri"/>
                <w:kern w:val="0"/>
                <w:sz w:val="22"/>
              </w:rPr>
              <w:t>年</w:t>
            </w:r>
            <w:r>
              <w:rPr>
                <w:rFonts w:hint="eastAsia" w:ascii="宋体" w:hAnsi="宋体" w:cs="Calibri"/>
                <w:kern w:val="0"/>
                <w:sz w:val="22"/>
                <w:lang w:val="en-US" w:eastAsia="zh-CN"/>
              </w:rPr>
              <w:t>1</w:t>
            </w:r>
            <w:r>
              <w:rPr>
                <w:rFonts w:hint="eastAsia" w:ascii="宋体" w:hAnsi="宋体" w:cs="Calibri"/>
                <w:kern w:val="0"/>
                <w:sz w:val="22"/>
              </w:rPr>
              <w:t>月</w:t>
            </w:r>
            <w:r>
              <w:rPr>
                <w:rFonts w:hint="eastAsia" w:ascii="宋体" w:hAnsi="宋体" w:cs="Calibri"/>
                <w:kern w:val="0"/>
                <w:sz w:val="22"/>
                <w:lang w:val="en-US" w:eastAsia="zh-CN"/>
              </w:rPr>
              <w:t>7</w:t>
            </w:r>
            <w:r>
              <w:rPr>
                <w:rFonts w:hint="eastAsia" w:ascii="宋体" w:hAnsi="宋体" w:cs="Calibri"/>
                <w:kern w:val="0"/>
                <w:sz w:val="22"/>
              </w:rPr>
              <w:t>日11：30前，以书面加盖公章的形式通过E-mail或传真提交给招标人（投标联系人:贾思勰，电话0571-</w:t>
            </w:r>
            <w:r>
              <w:rPr>
                <w:rFonts w:ascii="宋体" w:hAnsi="宋体" w:cs="Calibri"/>
                <w:kern w:val="0"/>
                <w:sz w:val="22"/>
              </w:rPr>
              <w:t>83837612</w:t>
            </w:r>
            <w:r>
              <w:rPr>
                <w:rFonts w:hint="eastAsia" w:ascii="宋体" w:hAnsi="宋体" w:cs="Calibri"/>
                <w:kern w:val="0"/>
                <w:sz w:val="22"/>
              </w:rPr>
              <w:t>；传真：0571-</w:t>
            </w:r>
            <w:r>
              <w:rPr>
                <w:rFonts w:ascii="宋体" w:hAnsi="宋体" w:cs="Calibri"/>
                <w:kern w:val="0"/>
                <w:sz w:val="22"/>
              </w:rPr>
              <w:t>83837612</w:t>
            </w:r>
            <w:r>
              <w:rPr>
                <w:rFonts w:hint="eastAsia" w:ascii="宋体" w:hAnsi="宋体" w:cs="Calibri"/>
                <w:kern w:val="0"/>
                <w:sz w:val="22"/>
              </w:rPr>
              <w:t>；电子邮箱：zbzx@hzairport.com）投标人必须在规定时间前提出对招标文件的疑问，否则招标人有权拒绝接收和拒绝回答未在截止时间前提出的疑问。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投标截止时间</w:t>
            </w:r>
          </w:p>
        </w:tc>
        <w:tc>
          <w:tcPr>
            <w:tcW w:w="6487" w:type="dxa"/>
            <w:vAlign w:val="center"/>
          </w:tcPr>
          <w:p>
            <w:pPr>
              <w:autoSpaceDE w:val="0"/>
              <w:autoSpaceDN w:val="0"/>
              <w:adjustRightInd w:val="0"/>
              <w:snapToGrid w:val="0"/>
              <w:rPr>
                <w:rFonts w:cs="Calibri" w:asciiTheme="minorEastAsia" w:hAnsiTheme="minorEastAsia" w:eastAsiaTheme="minorEastAsia"/>
                <w:b/>
                <w:kern w:val="0"/>
                <w:sz w:val="22"/>
              </w:rPr>
            </w:pPr>
            <w:r>
              <w:rPr>
                <w:rFonts w:hint="eastAsia" w:ascii="宋体" w:hAnsi="宋体" w:cs="Arial"/>
                <w:kern w:val="0"/>
                <w:sz w:val="22"/>
                <w:lang w:eastAsia="zh-CN"/>
              </w:rPr>
              <w:t>2020年1月14日下午13时45分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投标人确认收到招标文件澄清的时间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w:t>
            </w:r>
            <w:bookmarkStart w:id="36" w:name="_Toc236586447"/>
            <w:bookmarkStart w:id="37"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2.3.2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投标人确认收到招标文件修改的时间</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3.4.1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投标有效期</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12</w:t>
            </w:r>
            <w:r>
              <w:rPr>
                <w:rFonts w:cs="Calibri" w:asciiTheme="minorEastAsia" w:hAnsiTheme="minorEastAsia" w:eastAsiaTheme="minorEastAsia"/>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3.5.1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投标保证金</w:t>
            </w:r>
          </w:p>
        </w:tc>
        <w:tc>
          <w:tcPr>
            <w:tcW w:w="6487" w:type="dxa"/>
            <w:vAlign w:val="center"/>
          </w:tcPr>
          <w:p>
            <w:pPr>
              <w:snapToGrid w:val="0"/>
              <w:rPr>
                <w:rFonts w:asciiTheme="minorEastAsia" w:hAnsiTheme="minorEastAsia" w:eastAsiaTheme="minorEastAsia"/>
                <w:sz w:val="22"/>
                <w:lang w:val="zh-CN"/>
              </w:rPr>
            </w:pPr>
            <w:r>
              <w:rPr>
                <w:rFonts w:hint="eastAsia" w:asciiTheme="minorEastAsia" w:hAnsiTheme="minorEastAsia" w:eastAsiaTheme="minorEastAsia"/>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3.6.3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签字或盖章要求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b/>
                <w:kern w:val="0"/>
                <w:sz w:val="22"/>
              </w:rPr>
              <w:t>投标文件封面（或扉页）、投标函以及各类报价表</w:t>
            </w:r>
            <w:r>
              <w:rPr>
                <w:rFonts w:cs="Calibri" w:asciiTheme="minorEastAsia" w:hAnsiTheme="minorEastAsia" w:eastAsiaTheme="minorEastAsia"/>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3.6.4</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3.6.5</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装订要求</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按照投标人须知3.2项约定的投标文件组成内容，投标文件应按以下要求装订：</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不分册装订</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□分册装订</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每册采用</w:t>
            </w:r>
            <w:r>
              <w:rPr>
                <w:rFonts w:cs="Calibri" w:asciiTheme="minorEastAsia" w:hAnsiTheme="minorEastAsia" w:eastAsiaTheme="minorEastAsia"/>
                <w:kern w:val="0"/>
                <w:sz w:val="22"/>
                <w:u w:val="single"/>
              </w:rPr>
              <w:t xml:space="preserve"> 胶装 </w:t>
            </w:r>
            <w:r>
              <w:rPr>
                <w:rFonts w:cs="Calibri" w:asciiTheme="minorEastAsia" w:hAnsiTheme="minorEastAsia" w:eastAsiaTheme="minorEastAsia"/>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4.1.2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封套上写明</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招标人的地址：</w:t>
            </w:r>
            <w:r>
              <w:rPr>
                <w:rFonts w:hint="eastAsia" w:asciiTheme="minorEastAsia" w:hAnsiTheme="minorEastAsia" w:eastAsiaTheme="minorEastAsia"/>
                <w:sz w:val="22"/>
                <w:u w:val="single"/>
              </w:rPr>
              <w:t>杭州萧山国际机场内</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招标人名称：</w:t>
            </w:r>
            <w:r>
              <w:rPr>
                <w:rFonts w:cs="Calibri" w:asciiTheme="minorEastAsia" w:hAnsiTheme="minorEastAsia" w:eastAsiaTheme="minorEastAsia"/>
                <w:kern w:val="0"/>
                <w:sz w:val="22"/>
                <w:u w:val="single"/>
              </w:rPr>
              <w:t>杭州萧山国际机场有限公司</w:t>
            </w:r>
          </w:p>
          <w:p>
            <w:pPr>
              <w:autoSpaceDE w:val="0"/>
              <w:autoSpaceDN w:val="0"/>
              <w:adjustRightInd w:val="0"/>
              <w:snapToGrid w:val="0"/>
              <w:rPr>
                <w:rFonts w:cs="Calibri" w:asciiTheme="minorEastAsia" w:hAnsiTheme="minorEastAsia" w:eastAsiaTheme="minorEastAsia"/>
                <w:kern w:val="0"/>
                <w:sz w:val="22"/>
              </w:rPr>
            </w:pPr>
            <w:r>
              <w:rPr>
                <w:rFonts w:hint="eastAsia" w:cs="宋体" w:asciiTheme="minorEastAsia" w:hAnsiTheme="minorEastAsia" w:eastAsiaTheme="minorEastAsia"/>
                <w:sz w:val="22"/>
              </w:rPr>
              <w:t>项目名称：</w:t>
            </w:r>
            <w:r>
              <w:rPr>
                <w:rFonts w:hint="eastAsia" w:cs="Calibri" w:asciiTheme="minorEastAsia" w:hAnsiTheme="minorEastAsia" w:eastAsiaTheme="minorEastAsia"/>
                <w:kern w:val="0"/>
                <w:sz w:val="22"/>
                <w:u w:val="single"/>
              </w:rPr>
              <w:t>杭州萧山国际机场机坪车辆车载GPS设备使用服务项目</w:t>
            </w:r>
            <w:r>
              <w:rPr>
                <w:rFonts w:hint="eastAsia" w:cs="宋体" w:asciiTheme="minorEastAsia" w:hAnsiTheme="minorEastAsia" w:eastAsiaTheme="minorEastAsia"/>
                <w:sz w:val="22"/>
              </w:rPr>
              <w:t>投标文件</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在</w:t>
            </w:r>
            <w:r>
              <w:rPr>
                <w:rFonts w:hint="eastAsia" w:ascii="宋体" w:hAnsi="宋体" w:cs="Arial" w:eastAsiaTheme="minorEastAsia"/>
                <w:kern w:val="0"/>
                <w:sz w:val="22"/>
                <w:lang w:eastAsia="zh-CN"/>
              </w:rPr>
              <w:t>2020年1月14日下午13时45</w:t>
            </w:r>
            <w:bookmarkStart w:id="121" w:name="_GoBack"/>
            <w:bookmarkEnd w:id="121"/>
            <w:r>
              <w:rPr>
                <w:rFonts w:hint="eastAsia" w:ascii="宋体" w:hAnsi="宋体" w:cs="Arial"/>
                <w:kern w:val="0"/>
                <w:sz w:val="22"/>
              </w:rPr>
              <w:t>分</w:t>
            </w:r>
            <w:r>
              <w:rPr>
                <w:rFonts w:cs="Calibri" w:asciiTheme="minorEastAsia" w:hAnsiTheme="minorEastAsia" w:eastAsiaTheme="minorEastAsia"/>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4.2.2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递交投标文件地点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hint="eastAsia" w:ascii="宋体" w:hAnsi="宋体"/>
                <w:b/>
                <w:bCs/>
                <w:szCs w:val="21"/>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4.2.3</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是否退还投标文件</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否</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5.1.1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开标时间和地点</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开标时间：同投标截止时间</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5.2</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开标程序</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w:t>
            </w:r>
            <w:r>
              <w:rPr>
                <w:rFonts w:hint="eastAsia" w:cs="Calibri" w:asciiTheme="minorEastAsia" w:hAnsiTheme="minorEastAsia" w:eastAsiaTheme="minorEastAsia"/>
                <w:kern w:val="0"/>
                <w:sz w:val="22"/>
              </w:rPr>
              <w:t>1</w:t>
            </w:r>
            <w:r>
              <w:rPr>
                <w:rFonts w:cs="Calibri" w:asciiTheme="minorEastAsia" w:hAnsiTheme="minorEastAsia" w:eastAsiaTheme="minorEastAsia"/>
                <w:kern w:val="0"/>
                <w:sz w:val="22"/>
              </w:rPr>
              <w:t>）密封情况检查：由投标人或者其集体推选的代表检查投标文件的密封情况。</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w:t>
            </w:r>
            <w:r>
              <w:rPr>
                <w:rFonts w:hint="eastAsia" w:cs="Calibri" w:asciiTheme="minorEastAsia" w:hAnsiTheme="minorEastAsia" w:eastAsiaTheme="minorEastAsia"/>
                <w:kern w:val="0"/>
                <w:sz w:val="22"/>
              </w:rPr>
              <w:t>2</w:t>
            </w:r>
            <w:r>
              <w:rPr>
                <w:rFonts w:cs="Calibri" w:asciiTheme="minorEastAsia" w:hAnsiTheme="minorEastAsia" w:eastAsiaTheme="minorEastAsia"/>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6.1.1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评标委员会的组建</w:t>
            </w:r>
          </w:p>
        </w:tc>
        <w:tc>
          <w:tcPr>
            <w:tcW w:w="6487" w:type="dxa"/>
            <w:vAlign w:val="center"/>
          </w:tcPr>
          <w:p>
            <w:pPr>
              <w:autoSpaceDE w:val="0"/>
              <w:autoSpaceDN w:val="0"/>
              <w:adjustRightInd w:val="0"/>
              <w:snapToGrid w:val="0"/>
              <w:jc w:val="left"/>
              <w:rPr>
                <w:rFonts w:asciiTheme="minorEastAsia" w:hAnsiTheme="minorEastAsia" w:eastAsiaTheme="minorEastAsia"/>
                <w:sz w:val="22"/>
              </w:rPr>
            </w:pPr>
            <w:r>
              <w:rPr>
                <w:rFonts w:hint="eastAsia" w:asciiTheme="minorEastAsia" w:hAnsiTheme="minorEastAsia" w:eastAsiaTheme="minorEastAsia"/>
                <w:sz w:val="22"/>
              </w:rPr>
              <w:t>评标委员会构成</w:t>
            </w:r>
            <w:r>
              <w:rPr>
                <w:rFonts w:hint="eastAsia" w:cs="Calibri" w:asciiTheme="minorEastAsia" w:hAnsiTheme="minorEastAsia" w:eastAsiaTheme="minorEastAsia"/>
                <w:kern w:val="0"/>
                <w:sz w:val="22"/>
              </w:rPr>
              <w:t>：3</w:t>
            </w:r>
            <w:r>
              <w:rPr>
                <w:rFonts w:hint="eastAsia" w:asciiTheme="minorEastAsia" w:hAnsiTheme="minorEastAsia" w:eastAsiaTheme="minorEastAsia"/>
                <w:sz w:val="22"/>
              </w:rPr>
              <w:t>人及以上单数</w:t>
            </w:r>
          </w:p>
          <w:p>
            <w:pPr>
              <w:autoSpaceDE w:val="0"/>
              <w:autoSpaceDN w:val="0"/>
              <w:adjustRightInd w:val="0"/>
              <w:snapToGrid w:val="0"/>
              <w:jc w:val="left"/>
              <w:rPr>
                <w:rFonts w:asciiTheme="minorEastAsia" w:hAnsiTheme="minorEastAsia" w:eastAsiaTheme="minorEastAsia"/>
                <w:sz w:val="22"/>
              </w:rPr>
            </w:pPr>
            <w:r>
              <w:rPr>
                <w:rFonts w:hint="eastAsia" w:asciiTheme="minorEastAsia" w:hAnsiTheme="minorEastAsia" w:eastAsiaTheme="minorEastAsia"/>
                <w:sz w:val="22"/>
              </w:rPr>
              <w:t>评标专家确定方式：</w:t>
            </w:r>
            <w:r>
              <w:rPr>
                <w:rFonts w:hint="eastAsia" w:asciiTheme="minorEastAsia" w:hAnsiTheme="minorEastAsia"/>
                <w:sz w:val="22"/>
              </w:rPr>
              <w:t>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7.1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是否授权评标委员会确定中标人</w:t>
            </w:r>
          </w:p>
        </w:tc>
        <w:tc>
          <w:tcPr>
            <w:tcW w:w="6487" w:type="dxa"/>
            <w:vAlign w:val="center"/>
          </w:tcPr>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□是</w:t>
            </w:r>
          </w:p>
          <w:p>
            <w:pPr>
              <w:autoSpaceDE w:val="0"/>
              <w:autoSpaceDN w:val="0"/>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sym w:font="Wingdings" w:char="F0FE"/>
            </w:r>
            <w:r>
              <w:rPr>
                <w:rFonts w:cs="Calibri" w:asciiTheme="minorEastAsia" w:hAnsiTheme="minorEastAsia" w:eastAsiaTheme="minorEastAsia"/>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7.3.1</w:t>
            </w:r>
          </w:p>
        </w:tc>
        <w:tc>
          <w:tcPr>
            <w:tcW w:w="2004"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履约担保</w:t>
            </w:r>
          </w:p>
        </w:tc>
        <w:tc>
          <w:tcPr>
            <w:tcW w:w="6487" w:type="dxa"/>
            <w:vAlign w:val="center"/>
          </w:tcPr>
          <w:p>
            <w:pPr>
              <w:autoSpaceDE w:val="0"/>
              <w:autoSpaceDN w:val="0"/>
              <w:adjustRightInd w:val="0"/>
              <w:snapToGrid w:val="0"/>
              <w:spacing w:line="400" w:lineRule="exact"/>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的形式：</w:t>
            </w:r>
            <w:r>
              <w:rPr>
                <w:rFonts w:hint="eastAsia" w:ascii="宋体" w:hAnsi="宋体"/>
                <w:sz w:val="22"/>
              </w:rPr>
              <w:t>银行转账</w:t>
            </w:r>
          </w:p>
          <w:p>
            <w:pPr>
              <w:autoSpaceDE w:val="0"/>
              <w:autoSpaceDN w:val="0"/>
              <w:adjustRightInd w:val="0"/>
              <w:snapToGrid w:val="0"/>
              <w:jc w:val="left"/>
              <w:rPr>
                <w:rFonts w:asciiTheme="minorEastAsia" w:hAnsiTheme="minorEastAsia" w:eastAsiaTheme="minorEastAsia"/>
                <w:sz w:val="22"/>
              </w:rPr>
            </w:pPr>
            <w:r>
              <w:rPr>
                <w:rFonts w:ascii="宋体" w:hAnsi="宋体"/>
                <w:sz w:val="22"/>
              </w:rPr>
              <w:t>履约</w:t>
            </w:r>
            <w:r>
              <w:rPr>
                <w:rFonts w:hint="eastAsia" w:ascii="宋体" w:hAnsi="宋体"/>
                <w:sz w:val="22"/>
              </w:rPr>
              <w:t>保证金</w:t>
            </w:r>
            <w:r>
              <w:rPr>
                <w:rFonts w:ascii="宋体" w:hAnsi="宋体"/>
                <w:sz w:val="22"/>
              </w:rPr>
              <w:t>的金额：</w:t>
            </w:r>
            <w:r>
              <w:rPr>
                <w:rFonts w:hint="eastAsia" w:ascii="宋体" w:hAnsi="宋体"/>
                <w:sz w:val="22"/>
              </w:rPr>
              <w:t>人民币壹万元整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10</w:t>
            </w:r>
          </w:p>
        </w:tc>
        <w:tc>
          <w:tcPr>
            <w:tcW w:w="8491" w:type="dxa"/>
            <w:gridSpan w:val="2"/>
            <w:vAlign w:val="center"/>
          </w:tcPr>
          <w:p>
            <w:pPr>
              <w:autoSpaceDE w:val="0"/>
              <w:autoSpaceDN w:val="0"/>
              <w:adjustRightInd w:val="0"/>
              <w:snapToGrid w:val="0"/>
              <w:jc w:val="center"/>
              <w:rPr>
                <w:rFonts w:cs="Calibri" w:asciiTheme="minorEastAsia" w:hAnsiTheme="minorEastAsia" w:eastAsiaTheme="minorEastAsia"/>
                <w:snapToGrid w:val="0"/>
                <w:sz w:val="22"/>
              </w:rPr>
            </w:pPr>
            <w:r>
              <w:rPr>
                <w:rFonts w:cs="Calibri" w:asciiTheme="minorEastAsia" w:hAnsiTheme="minorEastAsia" w:eastAsiaTheme="minorEastAsia"/>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cs="Calibri" w:asciiTheme="minorEastAsia" w:hAnsiTheme="minorEastAsia" w:eastAsiaTheme="minorEastAsia"/>
                <w:kern w:val="0"/>
                <w:sz w:val="22"/>
              </w:rPr>
              <w:t>10.</w:t>
            </w:r>
            <w:r>
              <w:rPr>
                <w:rFonts w:hint="eastAsia" w:cs="Calibri" w:asciiTheme="minorEastAsia" w:hAnsiTheme="minorEastAsia" w:eastAsiaTheme="minorEastAsia"/>
                <w:kern w:val="0"/>
                <w:sz w:val="22"/>
              </w:rPr>
              <w:t>2</w:t>
            </w:r>
          </w:p>
        </w:tc>
        <w:tc>
          <w:tcPr>
            <w:tcW w:w="2004" w:type="dxa"/>
            <w:vAlign w:val="center"/>
          </w:tcPr>
          <w:p>
            <w:pPr>
              <w:pStyle w:val="43"/>
              <w:adjustRightInd w:val="0"/>
              <w:snapToGrid w:val="0"/>
              <w:spacing w:line="240" w:lineRule="auto"/>
              <w:jc w:val="center"/>
              <w:rPr>
                <w:rFonts w:cs="Calibri" w:asciiTheme="minorEastAsia" w:hAnsiTheme="minorEastAsia" w:eastAsiaTheme="minorEastAsia"/>
                <w:color w:val="auto"/>
                <w:sz w:val="22"/>
                <w:szCs w:val="22"/>
              </w:rPr>
            </w:pPr>
            <w:r>
              <w:rPr>
                <w:rFonts w:cs="Calibri" w:asciiTheme="minorEastAsia" w:hAnsiTheme="minorEastAsia" w:eastAsiaTheme="minorEastAsia"/>
                <w:color w:val="auto"/>
                <w:sz w:val="22"/>
                <w:szCs w:val="22"/>
              </w:rPr>
              <w:t>其他</w:t>
            </w:r>
          </w:p>
        </w:tc>
        <w:tc>
          <w:tcPr>
            <w:tcW w:w="6487" w:type="dxa"/>
            <w:shd w:val="clear" w:color="auto" w:fill="FFFFFF"/>
            <w:vAlign w:val="center"/>
          </w:tcPr>
          <w:p>
            <w:pPr>
              <w:adjustRightInd w:val="0"/>
              <w:snapToGrid w:val="0"/>
              <w:rPr>
                <w:rFonts w:cs="Calibri" w:asciiTheme="minorEastAsia" w:hAnsiTheme="minorEastAsia" w:eastAsiaTheme="minorEastAsia"/>
                <w:snapToGrid w:val="0"/>
                <w:kern w:val="0"/>
                <w:sz w:val="22"/>
              </w:rPr>
            </w:pPr>
            <w:r>
              <w:rPr>
                <w:rFonts w:cs="Calibri" w:asciiTheme="minorEastAsia" w:hAnsiTheme="minorEastAsia" w:eastAsiaTheme="minorEastAsia"/>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w:t>
            </w:r>
            <w:r>
              <w:rPr>
                <w:rFonts w:hint="eastAsia" w:cs="Calibri" w:asciiTheme="minorEastAsia" w:hAnsiTheme="minorEastAsia" w:eastAsiaTheme="minorEastAsia"/>
                <w:snapToGrid w:val="0"/>
                <w:kern w:val="0"/>
                <w:sz w:val="22"/>
              </w:rPr>
              <w:t>异议</w:t>
            </w:r>
            <w:r>
              <w:rPr>
                <w:rFonts w:cs="Calibri" w:asciiTheme="minorEastAsia" w:hAnsiTheme="minorEastAsia" w:eastAsiaTheme="minorEastAsia"/>
                <w:snapToGrid w:val="0"/>
                <w:kern w:val="0"/>
                <w:sz w:val="22"/>
              </w:rPr>
              <w:t>。</w:t>
            </w:r>
          </w:p>
          <w:p>
            <w:pPr>
              <w:adjustRightInd w:val="0"/>
              <w:snapToGrid w:val="0"/>
              <w:rPr>
                <w:rFonts w:cs="Calibri" w:asciiTheme="minorEastAsia" w:hAnsiTheme="minorEastAsia" w:eastAsiaTheme="minorEastAsia"/>
                <w:snapToGrid w:val="0"/>
                <w:kern w:val="0"/>
                <w:sz w:val="22"/>
              </w:rPr>
            </w:pPr>
            <w:r>
              <w:rPr>
                <w:rFonts w:cs="Calibri" w:asciiTheme="minorEastAsia" w:hAnsiTheme="minorEastAsia" w:eastAsiaTheme="minorEastAsia"/>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vAlign w:val="center"/>
          </w:tcPr>
          <w:p>
            <w:pPr>
              <w:autoSpaceDE w:val="0"/>
              <w:autoSpaceDN w:val="0"/>
              <w:adjustRightInd w:val="0"/>
              <w:snapToGrid w:val="0"/>
              <w:jc w:val="center"/>
              <w:rPr>
                <w:rFonts w:cs="Calibri" w:asciiTheme="minorEastAsia" w:hAnsiTheme="minorEastAsia" w:eastAsiaTheme="minorEastAsia"/>
                <w:kern w:val="0"/>
                <w:sz w:val="22"/>
              </w:rPr>
            </w:pPr>
            <w:r>
              <w:rPr>
                <w:rFonts w:hint="eastAsia" w:cs="Calibri" w:asciiTheme="minorEastAsia" w:hAnsiTheme="minorEastAsia" w:eastAsiaTheme="minorEastAsia"/>
                <w:kern w:val="0"/>
                <w:sz w:val="22"/>
              </w:rPr>
              <w:t>10.3</w:t>
            </w:r>
          </w:p>
        </w:tc>
        <w:tc>
          <w:tcPr>
            <w:tcW w:w="2004" w:type="dxa"/>
            <w:vAlign w:val="center"/>
          </w:tcPr>
          <w:p>
            <w:pPr>
              <w:pStyle w:val="43"/>
              <w:spacing w:line="240" w:lineRule="auto"/>
              <w:jc w:val="center"/>
              <w:rPr>
                <w:rFonts w:cs="Calibri" w:asciiTheme="minorEastAsia" w:hAnsiTheme="minorEastAsia" w:eastAsiaTheme="minorEastAsia"/>
                <w:snapToGrid/>
                <w:color w:val="auto"/>
                <w:sz w:val="22"/>
                <w:szCs w:val="22"/>
              </w:rPr>
            </w:pPr>
            <w:r>
              <w:rPr>
                <w:rFonts w:hint="eastAsia" w:cs="Calibri" w:asciiTheme="minorEastAsia" w:hAnsiTheme="minorEastAsia" w:eastAsiaTheme="minorEastAsia"/>
                <w:snapToGrid/>
                <w:color w:val="auto"/>
                <w:sz w:val="22"/>
                <w:szCs w:val="22"/>
              </w:rPr>
              <w:t>备注</w:t>
            </w:r>
          </w:p>
        </w:tc>
        <w:tc>
          <w:tcPr>
            <w:tcW w:w="6487" w:type="dxa"/>
            <w:shd w:val="clear" w:color="auto" w:fill="FFFFFF"/>
            <w:vAlign w:val="center"/>
          </w:tcPr>
          <w:p>
            <w:pPr>
              <w:adjustRightInd w:val="0"/>
              <w:snapToGrid w:val="0"/>
              <w:rPr>
                <w:rFonts w:cs="Calibri" w:asciiTheme="minorEastAsia" w:hAnsiTheme="minorEastAsia" w:eastAsiaTheme="minorEastAsia"/>
                <w:kern w:val="0"/>
                <w:sz w:val="22"/>
              </w:rPr>
            </w:pPr>
            <w:r>
              <w:rPr>
                <w:rFonts w:cs="Calibri" w:asciiTheme="minorEastAsia" w:hAnsiTheme="minorEastAsia" w:eastAsiaTheme="minorEastAsia"/>
                <w:kern w:val="0"/>
                <w:sz w:val="22"/>
              </w:rPr>
              <w:t>本前附表内容与招标文件其他内容不一致之处，以本前附表为准。</w:t>
            </w:r>
          </w:p>
        </w:tc>
      </w:tr>
    </w:tbl>
    <w:p>
      <w:pPr>
        <w:autoSpaceDE w:val="0"/>
        <w:autoSpaceDN w:val="0"/>
        <w:adjustRightInd w:val="0"/>
        <w:spacing w:line="360" w:lineRule="exact"/>
        <w:ind w:firstLine="422" w:firstLineChars="200"/>
        <w:rPr>
          <w:rFonts w:eastAsia="黑体" w:cs="Calibri"/>
          <w:b/>
          <w:bCs/>
          <w:kern w:val="0"/>
          <w:szCs w:val="21"/>
        </w:rPr>
      </w:pPr>
      <w:bookmarkStart w:id="38" w:name="_Toc143421656"/>
      <w:bookmarkStart w:id="39" w:name="_Toc11067"/>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eastAsia="黑体" w:cs="Calibri"/>
          <w:b/>
          <w:bCs/>
          <w:kern w:val="0"/>
          <w:szCs w:val="21"/>
        </w:rPr>
        <w:br w:type="page"/>
      </w: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 </w:t>
      </w:r>
      <w:r>
        <w:rPr>
          <w:rFonts w:cs="Calibri" w:asciiTheme="minorEastAsia" w:hAnsiTheme="minorEastAsia" w:eastAsiaTheme="minorEastAsia"/>
          <w:b/>
          <w:bCs/>
          <w:kern w:val="0"/>
          <w:sz w:val="22"/>
        </w:rPr>
        <w:t>总则</w:t>
      </w:r>
      <w:bookmarkEnd w:id="38"/>
      <w:bookmarkEnd w:id="3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0" w:name="_Toc26216"/>
      <w:r>
        <w:rPr>
          <w:rFonts w:cs="Calibri" w:asciiTheme="minorEastAsia" w:hAnsiTheme="minorEastAsia" w:eastAsiaTheme="minorEastAsia"/>
          <w:b/>
          <w:bCs/>
          <w:kern w:val="0"/>
          <w:sz w:val="22"/>
        </w:rPr>
        <w:t>1.1 项目</w:t>
      </w:r>
      <w:bookmarkEnd w:id="40"/>
      <w:r>
        <w:rPr>
          <w:rFonts w:cs="Calibri" w:asciiTheme="minorEastAsia" w:hAnsiTheme="minorEastAsia" w:eastAsiaTheme="minorEastAsia"/>
          <w:b/>
          <w:bCs/>
          <w:kern w:val="0"/>
          <w:sz w:val="22"/>
        </w:rPr>
        <w:t>概况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1.1.2项目</w:t>
      </w:r>
      <w:r>
        <w:rPr>
          <w:rFonts w:hint="eastAsia" w:cs="Calibri" w:asciiTheme="minorEastAsia" w:hAnsiTheme="minorEastAsia" w:eastAsiaTheme="minorEastAsia"/>
          <w:color w:val="000000"/>
          <w:kern w:val="0"/>
          <w:sz w:val="22"/>
        </w:rPr>
        <w:t>实施</w:t>
      </w:r>
      <w:r>
        <w:rPr>
          <w:rFonts w:cs="Calibri" w:asciiTheme="minorEastAsia" w:hAnsiTheme="minorEastAsia" w:eastAsiaTheme="minorEastAsia"/>
          <w:color w:val="000000"/>
          <w:kern w:val="0"/>
          <w:sz w:val="22"/>
        </w:rPr>
        <w:t>地点见投标人须知前附表</w:t>
      </w:r>
      <w:r>
        <w:rPr>
          <w:rFonts w:cs="Calibri"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1" w:name="_Toc9136"/>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资金来源</w:t>
      </w:r>
      <w:bookmarkEnd w:id="41"/>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2" w:name="_Toc10673"/>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3</w:t>
      </w:r>
      <w:r>
        <w:rPr>
          <w:rFonts w:cs="Calibri" w:asciiTheme="minorEastAsia" w:hAnsiTheme="minorEastAsia" w:eastAsiaTheme="minorEastAsia"/>
          <w:b/>
          <w:bCs/>
          <w:kern w:val="0"/>
          <w:sz w:val="22"/>
        </w:rPr>
        <w:t xml:space="preserve"> 招标</w:t>
      </w:r>
      <w:bookmarkEnd w:id="42"/>
      <w:r>
        <w:rPr>
          <w:rFonts w:hint="eastAsia" w:cs="Calibri" w:asciiTheme="minorEastAsia" w:hAnsiTheme="minorEastAsia" w:eastAsiaTheme="minorEastAsia"/>
          <w:b/>
          <w:bCs/>
          <w:kern w:val="0"/>
          <w:sz w:val="22"/>
        </w:rPr>
        <w:t>内容</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3" w:name="_Toc718"/>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4</w:t>
      </w:r>
      <w:r>
        <w:rPr>
          <w:rFonts w:cs="Calibri" w:asciiTheme="minorEastAsia" w:hAnsiTheme="minorEastAsia" w:eastAsiaTheme="minorEastAsia"/>
          <w:b/>
          <w:bCs/>
          <w:kern w:val="0"/>
          <w:sz w:val="22"/>
        </w:rPr>
        <w:t xml:space="preserve"> 招标方式</w:t>
      </w:r>
      <w:bookmarkEnd w:id="43"/>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4" w:name="_Toc9161"/>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5 </w:t>
      </w:r>
      <w:r>
        <w:rPr>
          <w:rFonts w:cs="Calibri" w:asciiTheme="minorEastAsia" w:hAnsiTheme="minorEastAsia" w:eastAsiaTheme="minorEastAsia"/>
          <w:b/>
          <w:bCs/>
          <w:kern w:val="0"/>
          <w:sz w:val="22"/>
        </w:rPr>
        <w:t>资格审查</w:t>
      </w:r>
      <w:bookmarkEnd w:id="44"/>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5" w:name="_Toc13012"/>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6</w:t>
      </w:r>
      <w:r>
        <w:rPr>
          <w:rFonts w:cs="Calibri" w:asciiTheme="minorEastAsia" w:hAnsiTheme="minorEastAsia" w:eastAsiaTheme="minorEastAsia"/>
          <w:b/>
          <w:bCs/>
          <w:kern w:val="0"/>
          <w:sz w:val="22"/>
        </w:rPr>
        <w:t xml:space="preserve"> 投标人资质条件、能力和信誉</w:t>
      </w:r>
      <w:bookmarkEnd w:id="45"/>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6" w:name="_Toc2796"/>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7</w:t>
      </w:r>
      <w:r>
        <w:rPr>
          <w:rFonts w:cs="Calibri" w:asciiTheme="minorEastAsia" w:hAnsiTheme="minorEastAsia" w:eastAsiaTheme="minorEastAsia"/>
          <w:b/>
          <w:bCs/>
          <w:kern w:val="0"/>
          <w:sz w:val="22"/>
        </w:rPr>
        <w:t xml:space="preserve"> </w:t>
      </w:r>
      <w:r>
        <w:rPr>
          <w:rFonts w:hint="eastAsia" w:cs="Calibri" w:asciiTheme="minorEastAsia" w:hAnsiTheme="minorEastAsia" w:eastAsiaTheme="minorEastAsia"/>
          <w:b/>
          <w:bCs/>
          <w:kern w:val="0"/>
          <w:sz w:val="22"/>
        </w:rPr>
        <w:t>服务</w:t>
      </w:r>
      <w:r>
        <w:rPr>
          <w:rFonts w:cs="Calibri" w:asciiTheme="minorEastAsia" w:hAnsiTheme="minorEastAsia" w:eastAsiaTheme="minorEastAsia"/>
          <w:b/>
          <w:bCs/>
          <w:kern w:val="0"/>
          <w:sz w:val="22"/>
        </w:rPr>
        <w:t>期</w:t>
      </w:r>
      <w:bookmarkEnd w:id="4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hint="eastAsia" w:cs="Calibri" w:asciiTheme="minorEastAsia" w:hAnsiTheme="minorEastAsia" w:eastAsiaTheme="minorEastAsia"/>
          <w:b/>
          <w:bCs/>
          <w:kern w:val="0"/>
          <w:sz w:val="22"/>
        </w:rPr>
        <w:t>1.8 质量要求</w:t>
      </w:r>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47" w:name="_Toc13907"/>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9</w:t>
      </w:r>
      <w:r>
        <w:rPr>
          <w:rFonts w:cs="Calibri" w:asciiTheme="minorEastAsia" w:hAnsiTheme="minorEastAsia" w:eastAsiaTheme="minorEastAsia"/>
          <w:b/>
          <w:bCs/>
          <w:kern w:val="0"/>
          <w:sz w:val="22"/>
        </w:rPr>
        <w:t xml:space="preserve"> 踏勘现场</w:t>
      </w:r>
      <w:bookmarkEnd w:id="4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sz w:val="22"/>
        </w:rPr>
        <w:t>1.</w:t>
      </w:r>
      <w:r>
        <w:rPr>
          <w:rFonts w:hint="eastAsia" w:cs="Calibri" w:asciiTheme="minorEastAsia" w:hAnsiTheme="minorEastAsia" w:eastAsiaTheme="minorEastAsia"/>
          <w:sz w:val="22"/>
        </w:rPr>
        <w:t>9</w:t>
      </w:r>
      <w:r>
        <w:rPr>
          <w:rFonts w:cs="Calibri" w:asciiTheme="minorEastAsia" w:hAnsiTheme="minorEastAsia" w:eastAsiaTheme="minorEastAsia"/>
          <w:sz w:val="22"/>
        </w:rPr>
        <w:t>.1</w:t>
      </w:r>
      <w:r>
        <w:rPr>
          <w:rFonts w:cs="Calibri" w:asciiTheme="minorEastAsia" w:hAnsiTheme="minorEastAsia" w:eastAsiaTheme="minorEastAsia"/>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.2 投标人踏勘现场发生的费用自理。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.3 投标人自行负责在踏勘现场中所发生的人员伤亡和财产损失。</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8" w:name="_Toc4199"/>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10</w:t>
      </w:r>
      <w:r>
        <w:rPr>
          <w:rFonts w:cs="Calibri" w:asciiTheme="minorEastAsia" w:hAnsiTheme="minorEastAsia" w:eastAsiaTheme="minorEastAsia"/>
          <w:b/>
          <w:bCs/>
          <w:kern w:val="0"/>
          <w:sz w:val="22"/>
        </w:rPr>
        <w:t xml:space="preserve"> 投标预备会</w:t>
      </w:r>
      <w:bookmarkEnd w:id="48"/>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9" w:name="_Toc4584"/>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1</w:t>
      </w:r>
      <w:r>
        <w:rPr>
          <w:rFonts w:cs="Calibri" w:asciiTheme="minorEastAsia" w:hAnsiTheme="minorEastAsia" w:eastAsiaTheme="minorEastAsia"/>
          <w:b/>
          <w:bCs/>
          <w:kern w:val="0"/>
          <w:sz w:val="22"/>
        </w:rPr>
        <w:t xml:space="preserve"> 分包</w:t>
      </w:r>
      <w:bookmarkEnd w:id="4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本项目</w:t>
      </w:r>
      <w:r>
        <w:rPr>
          <w:rFonts w:hint="eastAsia" w:cs="Calibri" w:asciiTheme="minorEastAsia" w:hAnsiTheme="minorEastAsia" w:eastAsiaTheme="minorEastAsia"/>
          <w:color w:val="000000"/>
          <w:sz w:val="22"/>
        </w:rPr>
        <w:t>涉及到其它专业的部分分项工作</w:t>
      </w:r>
      <w:r>
        <w:rPr>
          <w:rFonts w:cs="Calibri" w:asciiTheme="minorEastAsia" w:hAnsiTheme="minorEastAsia" w:eastAsiaTheme="minorEastAsia"/>
          <w:color w:val="000000"/>
          <w:sz w:val="22"/>
        </w:rPr>
        <w:t>允许分包。</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0" w:name="_Toc3996"/>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投标费用</w:t>
      </w:r>
      <w:bookmarkEnd w:id="5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投标人在投标过程中的一切费用，不论中标与否，均由投标人自理。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1" w:name="_Toc143421657"/>
      <w:bookmarkStart w:id="52" w:name="_Toc15241"/>
      <w:r>
        <w:rPr>
          <w:rFonts w:cs="Calibri" w:asciiTheme="minorEastAsia" w:hAnsiTheme="minorEastAsia" w:eastAsiaTheme="minorEastAsia"/>
          <w:b/>
          <w:bCs/>
          <w:kern w:val="0"/>
          <w:sz w:val="22"/>
        </w:rPr>
        <w:t>2.招标文件</w:t>
      </w:r>
      <w:bookmarkEnd w:id="51"/>
      <w:bookmarkEnd w:id="52"/>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3" w:name="_Toc1426"/>
      <w:r>
        <w:rPr>
          <w:rFonts w:cs="Calibri" w:asciiTheme="minorEastAsia" w:hAnsiTheme="minorEastAsia" w:eastAsiaTheme="minorEastAsia"/>
          <w:b/>
          <w:bCs/>
          <w:kern w:val="0"/>
          <w:sz w:val="22"/>
        </w:rPr>
        <w:t>2.1 招标文件的组成</w:t>
      </w:r>
      <w:bookmarkEnd w:id="53"/>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本招标文件包括：</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（1）招标公告</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（2）投标人须知</w:t>
      </w:r>
    </w:p>
    <w:p>
      <w:pPr>
        <w:adjustRightInd w:val="0"/>
        <w:snapToGrid w:val="0"/>
        <w:spacing w:line="360" w:lineRule="exact"/>
        <w:ind w:firstLine="440" w:firstLineChars="200"/>
        <w:rPr>
          <w:rFonts w:cs="Calibri" w:asciiTheme="minorEastAsia" w:hAnsiTheme="minorEastAsia" w:eastAsiaTheme="minorEastAsia"/>
          <w:kern w:val="0"/>
          <w:sz w:val="22"/>
        </w:rPr>
      </w:pPr>
      <w:r>
        <w:rPr>
          <w:rFonts w:cs="Calibri" w:asciiTheme="minorEastAsia" w:hAnsiTheme="minorEastAsia" w:eastAsiaTheme="minorEastAsia"/>
          <w:color w:val="000000"/>
          <w:kern w:val="0"/>
          <w:sz w:val="22"/>
        </w:rPr>
        <w:t>（3）</w:t>
      </w:r>
      <w:r>
        <w:rPr>
          <w:rFonts w:hint="eastAsia" w:cs="Calibri" w:asciiTheme="minorEastAsia" w:hAnsiTheme="minorEastAsia" w:eastAsiaTheme="minorEastAsia"/>
          <w:kern w:val="0"/>
          <w:sz w:val="22"/>
        </w:rPr>
        <w:t>服务技术标准及要求</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color w:val="000000"/>
          <w:kern w:val="0"/>
          <w:sz w:val="22"/>
        </w:rPr>
        <w:t>）合同条款</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5</w:t>
      </w:r>
      <w:r>
        <w:rPr>
          <w:rFonts w:cs="Calibri" w:asciiTheme="minorEastAsia" w:hAnsiTheme="minorEastAsia" w:eastAsiaTheme="minorEastAsia"/>
          <w:color w:val="000000"/>
          <w:kern w:val="0"/>
          <w:sz w:val="22"/>
        </w:rPr>
        <w:t>）评标办法及标准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6</w:t>
      </w:r>
      <w:r>
        <w:rPr>
          <w:rFonts w:cs="Calibri" w:asciiTheme="minorEastAsia" w:hAnsiTheme="minorEastAsia" w:eastAsiaTheme="minorEastAsia"/>
          <w:color w:val="000000"/>
          <w:kern w:val="0"/>
          <w:sz w:val="22"/>
        </w:rPr>
        <w:t>）投标文件格式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根据本须知第2.2款和2.3款对招标文件做出的澄清、修改，构成招标文件的组成部分。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4" w:name="_Toc18230"/>
      <w:r>
        <w:rPr>
          <w:rFonts w:cs="Calibri" w:asciiTheme="minorEastAsia" w:hAnsiTheme="minorEastAsia" w:eastAsiaTheme="minorEastAsia"/>
          <w:b/>
          <w:bCs/>
          <w:kern w:val="0"/>
          <w:sz w:val="22"/>
        </w:rPr>
        <w:t>2.2 招标文件的澄清</w:t>
      </w:r>
      <w:bookmarkEnd w:id="54"/>
    </w:p>
    <w:p>
      <w:pPr>
        <w:adjustRightInd w:val="0"/>
        <w:snapToGrid w:val="0"/>
        <w:spacing w:line="360" w:lineRule="exact"/>
        <w:ind w:firstLine="440"/>
        <w:rPr>
          <w:rFonts w:cs="Calibri" w:asciiTheme="minorEastAsia" w:hAnsiTheme="minorEastAsia"/>
          <w:color w:val="000000"/>
          <w:sz w:val="22"/>
        </w:rPr>
      </w:pPr>
      <w:bookmarkStart w:id="55" w:name="_Toc18303"/>
      <w:r>
        <w:rPr>
          <w:rFonts w:cs="Calibri" w:asciiTheme="minorEastAsia" w:hAnsiTheme="minorEastAsia"/>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2.2.2</w:t>
      </w:r>
      <w:r>
        <w:rPr>
          <w:rFonts w:hint="eastAsia" w:cs="Calibri" w:asciiTheme="minorEastAsia" w:hAnsiTheme="minorEastAsia"/>
          <w:kern w:val="0"/>
          <w:sz w:val="22"/>
        </w:rPr>
        <w:t>招标人将视情况采用补充公告的方式予以澄清。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2.3 招标文件的修改</w:t>
      </w:r>
      <w:bookmarkEnd w:id="55"/>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kern w:val="0"/>
          <w:sz w:val="22"/>
        </w:rPr>
        <w:t>2.3.1</w:t>
      </w:r>
      <w:r>
        <w:rPr>
          <w:rFonts w:hint="eastAsia" w:cs="Calibri" w:asciiTheme="minorEastAsia" w:hAnsiTheme="minor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cs="Calibri" w:asciiTheme="minorEastAsia" w:hAnsiTheme="minorEastAsia" w:eastAsiaTheme="minorEastAsia"/>
          <w:color w:val="000000"/>
          <w:sz w:val="22"/>
        </w:rPr>
      </w:pPr>
      <w:r>
        <w:rPr>
          <w:rFonts w:cs="Calibri" w:asciiTheme="minorEastAsia" w:hAnsiTheme="minorEastAsia"/>
          <w:color w:val="000000"/>
          <w:sz w:val="22"/>
        </w:rPr>
        <w:t>2.3.2</w:t>
      </w:r>
      <w:r>
        <w:rPr>
          <w:rFonts w:hint="eastAsia" w:cs="Calibri" w:asciiTheme="minorEastAsia" w:hAnsiTheme="minorEastAsia"/>
          <w:color w:val="000000"/>
          <w:sz w:val="22"/>
        </w:rPr>
        <w:t>招标文件的修改为招标文件的组成部分，对投标人有约束力。</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6" w:name="_Toc143421658"/>
      <w:bookmarkStart w:id="57" w:name="_Toc18870"/>
      <w:r>
        <w:rPr>
          <w:rFonts w:cs="Calibri" w:asciiTheme="minorEastAsia" w:hAnsiTheme="minorEastAsia" w:eastAsiaTheme="minorEastAsia"/>
          <w:b/>
          <w:bCs/>
          <w:kern w:val="0"/>
          <w:sz w:val="22"/>
        </w:rPr>
        <w:t>3.投标文件</w:t>
      </w:r>
      <w:bookmarkEnd w:id="56"/>
      <w:bookmarkEnd w:id="57"/>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8" w:name="_Toc461"/>
      <w:r>
        <w:rPr>
          <w:rFonts w:cs="Calibri" w:asciiTheme="minorEastAsia" w:hAnsiTheme="minorEastAsia" w:eastAsiaTheme="minorEastAsia"/>
          <w:b/>
          <w:bCs/>
          <w:kern w:val="0"/>
          <w:sz w:val="22"/>
        </w:rPr>
        <w:t>3.1 投标文件的语言和计量单位</w:t>
      </w:r>
      <w:bookmarkEnd w:id="5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3.1.1投标文件与投标有关的所有文件均应使用中文。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3.1.3招标文件中的“天”除特别说明外，均为日历天。</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3.1.4招标文件中所指的“合同”除特别说明外，指 “</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合同”。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9" w:name="_Toc1411"/>
      <w:r>
        <w:rPr>
          <w:rFonts w:cs="Calibri" w:asciiTheme="minorEastAsia" w:hAnsiTheme="minorEastAsia" w:eastAsiaTheme="minorEastAsia"/>
          <w:b/>
          <w:bCs/>
          <w:kern w:val="0"/>
          <w:sz w:val="22"/>
        </w:rPr>
        <w:t>3.2 投标文件的组成</w:t>
      </w:r>
      <w:bookmarkEnd w:id="59"/>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60" w:name="_Toc32225"/>
      <w:r>
        <w:rPr>
          <w:rFonts w:cs="Calibri" w:asciiTheme="minorEastAsia" w:hAnsiTheme="minorEastAsia" w:eastAsiaTheme="minorEastAsia"/>
          <w:color w:val="000000"/>
          <w:sz w:val="22"/>
        </w:rPr>
        <w:t>3.2.1投标函；</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2</w:t>
      </w:r>
      <w:r>
        <w:rPr>
          <w:rFonts w:cs="Calibri" w:asciiTheme="minorEastAsia" w:hAnsiTheme="minorEastAsia" w:eastAsiaTheme="minorEastAsia"/>
          <w:color w:val="000000"/>
          <w:sz w:val="22"/>
        </w:rPr>
        <w:t>法定代表人资格证明书；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3</w:t>
      </w:r>
      <w:r>
        <w:rPr>
          <w:rFonts w:cs="Calibri" w:asciiTheme="minorEastAsia" w:hAnsiTheme="minorEastAsia" w:eastAsiaTheme="minorEastAsia"/>
          <w:color w:val="000000"/>
          <w:sz w:val="22"/>
        </w:rPr>
        <w:t>授权委托书；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 xml:space="preserve"> 投标报价表；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3.2.5投标人资格证明文件：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（1）投标人一般情况</w:t>
      </w:r>
      <w:r>
        <w:rPr>
          <w:rFonts w:hint="eastAsia" w:cs="Calibri" w:asciiTheme="minorEastAsia" w:hAnsiTheme="minorEastAsia" w:eastAsiaTheme="minorEastAsia"/>
          <w:color w:val="000000"/>
          <w:sz w:val="22"/>
        </w:rPr>
        <w:t>及</w:t>
      </w:r>
      <w:r>
        <w:rPr>
          <w:rFonts w:cs="Calibri" w:asciiTheme="minorEastAsia" w:hAnsiTheme="minorEastAsia" w:eastAsiaTheme="minorEastAsia"/>
          <w:color w:val="000000"/>
          <w:sz w:val="22"/>
        </w:rPr>
        <w:t>有关证明投标人法律地位的文件（包括营业执照</w:t>
      </w:r>
      <w:r>
        <w:rPr>
          <w:rFonts w:hint="eastAsia" w:cs="Calibri" w:asciiTheme="minorEastAsia" w:hAnsiTheme="minorEastAsia" w:eastAsiaTheme="minorEastAsia"/>
          <w:color w:val="000000"/>
          <w:sz w:val="22"/>
        </w:rPr>
        <w:t>、</w:t>
      </w:r>
      <w:r>
        <w:rPr>
          <w:rFonts w:hint="eastAsia" w:cs="Calibri" w:asciiTheme="minorEastAsia" w:hAnsiTheme="minorEastAsia" w:eastAsiaTheme="minorEastAsia"/>
          <w:sz w:val="22"/>
        </w:rPr>
        <w:t>税务登记证、</w:t>
      </w:r>
      <w:r>
        <w:rPr>
          <w:rFonts w:cs="Calibri" w:asciiTheme="minorEastAsia" w:hAnsiTheme="minorEastAsia" w:eastAsiaTheme="minorEastAsia"/>
          <w:color w:val="000000"/>
          <w:sz w:val="22"/>
        </w:rPr>
        <w:t>资质</w:t>
      </w:r>
      <w:r>
        <w:rPr>
          <w:rFonts w:hint="eastAsia" w:cs="Calibri" w:asciiTheme="minorEastAsia" w:hAnsiTheme="minorEastAsia" w:eastAsiaTheme="minorEastAsia"/>
          <w:color w:val="000000"/>
          <w:sz w:val="22"/>
        </w:rPr>
        <w:t>证书</w:t>
      </w:r>
      <w:r>
        <w:rPr>
          <w:rFonts w:cs="Calibri" w:asciiTheme="minorEastAsia" w:hAnsiTheme="minorEastAsia" w:eastAsiaTheme="minorEastAsia"/>
          <w:color w:val="000000"/>
          <w:sz w:val="22"/>
        </w:rPr>
        <w:t>等），说明投标人的注册地点和主要经营范围；</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（2）信用中国网站www.creditchina.gov.cn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（3）有关证明投标人的企业信誉及获得各种奖励等资料；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（4）投标人经济实力：包括企业注册资金、财务报告与报表中反映的财务状况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5</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近三年</w:t>
      </w:r>
      <w:r>
        <w:rPr>
          <w:rFonts w:hint="eastAsia" w:cs="Calibri" w:asciiTheme="minorEastAsia" w:hAnsiTheme="minorEastAsia" w:eastAsiaTheme="minorEastAsia"/>
          <w:color w:val="000000"/>
          <w:sz w:val="22"/>
        </w:rPr>
        <w:t>（合同签订时间或部分服务期在2016年1月1日至投标截止日之内）</w:t>
      </w:r>
      <w:r>
        <w:rPr>
          <w:rFonts w:cs="Calibri" w:asciiTheme="minorEastAsia" w:hAnsiTheme="minorEastAsia" w:eastAsiaTheme="minorEastAsia"/>
          <w:color w:val="000000"/>
          <w:sz w:val="22"/>
        </w:rPr>
        <w:t>完成类似项目业绩情况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6</w:t>
      </w:r>
      <w:r>
        <w:rPr>
          <w:rFonts w:hint="eastAsia" w:cs="Calibri" w:asciiTheme="minorEastAsia" w:hAnsiTheme="minorEastAsia" w:eastAsiaTheme="minorEastAsia"/>
          <w:color w:val="000000"/>
          <w:sz w:val="22"/>
        </w:rPr>
        <w:t>）招标文件投标人资格要求中提供的相关材料。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3.2.6</w:t>
      </w:r>
      <w:r>
        <w:rPr>
          <w:rFonts w:hint="eastAsia" w:cs="Calibri" w:asciiTheme="minorEastAsia" w:hAnsiTheme="minorEastAsia" w:eastAsiaTheme="minorEastAsia"/>
          <w:color w:val="000000"/>
          <w:sz w:val="22"/>
        </w:rPr>
        <w:t xml:space="preserve"> </w:t>
      </w:r>
      <w:r>
        <w:rPr>
          <w:rFonts w:cs="Calibri" w:asciiTheme="minorEastAsia" w:hAnsiTheme="minorEastAsia" w:eastAsiaTheme="minorEastAsia"/>
          <w:color w:val="000000"/>
          <w:sz w:val="22"/>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w:t>
      </w:r>
      <w:r>
        <w:rPr>
          <w:rFonts w:hint="eastAsia" w:cs="Calibri" w:asciiTheme="minorEastAsia" w:hAnsiTheme="minorEastAsia" w:eastAsiaTheme="minorEastAsia"/>
          <w:color w:val="000000"/>
          <w:sz w:val="22"/>
        </w:rPr>
        <w:t>现场机构、人力、物资设备配置</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（4）服务人员的作业安排和进场计划；</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w:t>
      </w:r>
      <w:r>
        <w:rPr>
          <w:rFonts w:hint="eastAsia" w:cs="Calibri" w:asciiTheme="minorEastAsia" w:hAnsiTheme="minorEastAsia" w:eastAsiaTheme="minorEastAsia"/>
          <w:color w:val="000000"/>
          <w:sz w:val="22"/>
        </w:rPr>
        <w:t>运行、安全、服务等相关管理方案</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（6）对本项目的实施意见及重点</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难点控制；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（7）对特殊情况的承诺以及灾害性、突发事件的应急预案；</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w:t>
      </w:r>
      <w:r>
        <w:rPr>
          <w:rFonts w:hint="eastAsia" w:cs="Calibri" w:asciiTheme="minorEastAsia" w:hAnsiTheme="minorEastAsia" w:eastAsiaTheme="minorEastAsia"/>
          <w:color w:val="000000"/>
          <w:sz w:val="22"/>
        </w:rPr>
        <w:t>8</w:t>
      </w:r>
      <w:r>
        <w:rPr>
          <w:rFonts w:cs="Calibri" w:asciiTheme="minorEastAsia" w:hAnsiTheme="minorEastAsia" w:eastAsiaTheme="minorEastAsia"/>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）投入本项目服务的仪器、仪表、设备及交通工具汇总表</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asciiTheme="minorEastAsia" w:hAnsiTheme="minorEastAsia" w:eastAsiaTheme="minorEastAsia"/>
          <w:sz w:val="22"/>
        </w:rPr>
      </w:pPr>
      <w:r>
        <w:rPr>
          <w:rFonts w:cs="Calibri" w:asciiTheme="minorEastAsia" w:hAnsiTheme="minorEastAsia" w:eastAsiaTheme="minorEastAsia"/>
          <w:color w:val="000000"/>
          <w:sz w:val="22"/>
        </w:rPr>
        <w:t>3.2.7</w:t>
      </w:r>
      <w:r>
        <w:rPr>
          <w:rFonts w:hint="eastAsia" w:cs="Arial" w:asciiTheme="minorEastAsia" w:hAnsiTheme="minorEastAsia" w:eastAsiaTheme="minorEastAsia"/>
          <w:color w:val="000000"/>
          <w:sz w:val="22"/>
        </w:rPr>
        <w:t>投标人认为</w:t>
      </w:r>
      <w:r>
        <w:rPr>
          <w:rFonts w:cs="Arial" w:asciiTheme="minorEastAsia" w:hAnsiTheme="minorEastAsia" w:eastAsiaTheme="minorEastAsia"/>
          <w:color w:val="000000"/>
          <w:sz w:val="22"/>
        </w:rPr>
        <w:t>应该提供的其他材料</w:t>
      </w:r>
      <w:r>
        <w:rPr>
          <w:rFonts w:hint="eastAsia" w:cs="Arial"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3.3 投标报价</w:t>
      </w:r>
      <w:bookmarkEnd w:id="60"/>
    </w:p>
    <w:p>
      <w:pPr>
        <w:adjustRightInd w:val="0"/>
        <w:snapToGrid w:val="0"/>
        <w:spacing w:line="360" w:lineRule="exact"/>
        <w:ind w:firstLine="440" w:firstLineChars="200"/>
        <w:rPr>
          <w:rFonts w:cs="Calibri" w:asciiTheme="minorEastAsia" w:hAnsiTheme="minorEastAsia" w:eastAsiaTheme="minorEastAsia"/>
          <w:color w:val="000000"/>
          <w:kern w:val="0"/>
          <w:sz w:val="22"/>
        </w:rPr>
      </w:pPr>
      <w:bookmarkStart w:id="61" w:name="_Toc13307"/>
      <w:r>
        <w:rPr>
          <w:rFonts w:cs="Calibri" w:asciiTheme="minorEastAsia" w:hAnsiTheme="minorEastAsia" w:eastAsiaTheme="minorEastAsia"/>
          <w:color w:val="000000"/>
          <w:kern w:val="0"/>
          <w:sz w:val="22"/>
        </w:rPr>
        <w:t>3.2.1 投标人应按本招标文件中“投标文件格式”的要求填写相应表格。</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3.2.2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3.2.3招标人设有最高投标限价的，投标人的投标报价不得超过最高投标限价，最高投标限价详见投标人须知前附表。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3.2.4投标报价的其他要求</w:t>
      </w:r>
      <w:r>
        <w:rPr>
          <w:rFonts w:hint="eastAsia" w:cs="Calibri" w:asciiTheme="minorEastAsia" w:hAnsiTheme="minorEastAsia" w:eastAsiaTheme="minorEastAsia"/>
          <w:color w:val="000000"/>
          <w:kern w:val="0"/>
          <w:sz w:val="22"/>
        </w:rPr>
        <w:t>：</w:t>
      </w:r>
      <w:r>
        <w:rPr>
          <w:rFonts w:hint="eastAsia" w:cs="Calibri" w:asciiTheme="minorEastAsia" w:hAnsiTheme="minorEastAsia" w:eastAsiaTheme="minorEastAsia"/>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cs="Calibri" w:asciiTheme="minorEastAsia" w:hAnsiTheme="minorEastAsia" w:eastAsiaTheme="minorEastAsia"/>
          <w:b/>
          <w:color w:val="000000"/>
          <w:kern w:val="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3.4 投标有效期</w:t>
      </w:r>
      <w:bookmarkEnd w:id="61"/>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2" w:name="_Toc30464"/>
      <w:r>
        <w:rPr>
          <w:rFonts w:cs="Calibri" w:asciiTheme="minorEastAsia" w:hAnsiTheme="minorEastAsia" w:eastAsiaTheme="minorEastAsia"/>
          <w:b/>
          <w:bCs/>
          <w:kern w:val="0"/>
          <w:sz w:val="22"/>
        </w:rPr>
        <w:t>3.5 投标保证金</w:t>
      </w:r>
      <w:bookmarkEnd w:id="62"/>
      <w:r>
        <w:rPr>
          <w:rFonts w:hint="eastAsia" w:cs="Calibri" w:asciiTheme="minorEastAsia" w:hAnsiTheme="minorEastAsia" w:eastAsiaTheme="minorEastAsia"/>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cs="Calibri" w:asciiTheme="minorEastAsia" w:hAnsiTheme="minorEastAsia"/>
          <w:color w:val="000000"/>
          <w:kern w:val="0"/>
          <w:sz w:val="22"/>
        </w:rPr>
        <w:t>中标人在收到中标通知书后，</w:t>
      </w:r>
      <w:r>
        <w:rPr>
          <w:rFonts w:cs="Calibri" w:asciiTheme="minorEastAsia" w:hAnsiTheme="minorEastAsia"/>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3.6 投标文件的编制</w:t>
      </w:r>
      <w:bookmarkEnd w:id="63"/>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3.6.1 投标文件应按本须知第3.2款规定的内容和第</w:t>
      </w:r>
      <w:r>
        <w:rPr>
          <w:rFonts w:hint="eastAsia" w:cs="Calibri" w:asciiTheme="minorEastAsia" w:hAnsiTheme="minorEastAsia" w:eastAsiaTheme="minorEastAsia"/>
          <w:color w:val="000000"/>
          <w:sz w:val="22"/>
        </w:rPr>
        <w:t>六</w:t>
      </w:r>
      <w:r>
        <w:rPr>
          <w:rFonts w:cs="Calibri" w:asciiTheme="minorEastAsia" w:hAnsiTheme="minorEastAsia" w:eastAsiaTheme="minorEastAsia"/>
          <w:color w:val="000000"/>
          <w:sz w:val="22"/>
        </w:rPr>
        <w:t>章“投标文件格式”进行编写，如有必要，可以增加附页，作为投标文件的组成部分，“投标文件格式”中没有规定的可自行编制格式。其中，</w:t>
      </w:r>
      <w:r>
        <w:rPr>
          <w:rFonts w:hint="eastAsia" w:cs="Calibri" w:asciiTheme="minorEastAsia" w:hAnsiTheme="minorEastAsia" w:eastAsiaTheme="minorEastAsia"/>
          <w:sz w:val="22"/>
        </w:rPr>
        <w:t>服务期</w:t>
      </w:r>
      <w:r>
        <w:rPr>
          <w:rFonts w:cs="Calibri" w:asciiTheme="minorEastAsia" w:hAnsiTheme="minorEastAsia" w:eastAsiaTheme="minorEastAsia"/>
          <w:sz w:val="22"/>
        </w:rPr>
        <w:t>在满足招标文件实质性要求的基础上，可以提出比招标文件要求更有利于招标人的承诺。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 xml:space="preserve">3.6.2 </w:t>
      </w:r>
      <w:r>
        <w:rPr>
          <w:rFonts w:cs="Calibri" w:asciiTheme="minorEastAsia" w:hAnsiTheme="minorEastAsia" w:eastAsiaTheme="minorEastAsia"/>
          <w:color w:val="000000"/>
          <w:kern w:val="0"/>
          <w:sz w:val="22"/>
        </w:rPr>
        <w:t>投标文件应对招标文件有关</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期、投标有效期、招标</w:t>
      </w:r>
      <w:r>
        <w:rPr>
          <w:rFonts w:hint="eastAsia" w:cs="Calibri" w:asciiTheme="minorEastAsia" w:hAnsiTheme="minorEastAsia" w:eastAsiaTheme="minorEastAsia"/>
          <w:color w:val="000000"/>
          <w:kern w:val="0"/>
          <w:sz w:val="22"/>
        </w:rPr>
        <w:t>内容</w:t>
      </w:r>
      <w:r>
        <w:rPr>
          <w:rFonts w:cs="Calibri" w:asciiTheme="minorEastAsia" w:hAnsiTheme="minorEastAsia" w:eastAsiaTheme="minorEastAsia"/>
          <w:color w:val="000000"/>
          <w:kern w:val="0"/>
          <w:sz w:val="22"/>
        </w:rPr>
        <w:t>等实质性内容作出响应。</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cs="Calibri" w:asciiTheme="minorEastAsia" w:hAnsiTheme="minorEastAsia" w:eastAsiaTheme="minorEastAsia"/>
          <w:color w:val="000000"/>
          <w:kern w:val="0"/>
          <w:sz w:val="22"/>
        </w:rPr>
        <w:t>签字或盖章的具体要求见投标人须知前附表。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3.6.4投标文件正本一份， 副本份数见投标人须知前附表。正本、副本的封面上应清楚地标记</w:t>
      </w:r>
      <w:r>
        <w:rPr>
          <w:rFonts w:cs="Calibri" w:asciiTheme="minorEastAsia" w:hAnsiTheme="minorEastAsia" w:eastAsiaTheme="minorEastAsia"/>
          <w:b/>
          <w:bCs/>
          <w:color w:val="000000"/>
          <w:sz w:val="22"/>
        </w:rPr>
        <w:t>“正本</w:t>
      </w:r>
      <w:r>
        <w:rPr>
          <w:rFonts w:cs="Calibri" w:asciiTheme="minorEastAsia" w:hAnsiTheme="minorEastAsia" w:eastAsiaTheme="minorEastAsia"/>
          <w:color w:val="000000"/>
          <w:sz w:val="22"/>
        </w:rPr>
        <w:t>”或“</w:t>
      </w:r>
      <w:r>
        <w:rPr>
          <w:rFonts w:cs="Calibri" w:asciiTheme="minorEastAsia" w:hAnsiTheme="minorEastAsia" w:eastAsiaTheme="minorEastAsia"/>
          <w:b/>
          <w:bCs/>
          <w:color w:val="000000"/>
          <w:sz w:val="22"/>
        </w:rPr>
        <w:t>副本</w:t>
      </w:r>
      <w:r>
        <w:rPr>
          <w:rFonts w:cs="Calibri" w:asciiTheme="minorEastAsia" w:hAnsiTheme="minorEastAsia" w:eastAsiaTheme="minorEastAsia"/>
          <w:color w:val="000000"/>
          <w:sz w:val="22"/>
        </w:rPr>
        <w:t>”的字样。当副本和正本不一致时，以正本为准。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5" w:name="_Toc32652"/>
      <w:r>
        <w:rPr>
          <w:rFonts w:cs="Calibri" w:asciiTheme="minorEastAsia" w:hAnsiTheme="minorEastAsia" w:eastAsiaTheme="minorEastAsia"/>
          <w:b/>
          <w:bCs/>
          <w:kern w:val="0"/>
          <w:sz w:val="22"/>
        </w:rPr>
        <w:t>4.投标</w:t>
      </w:r>
      <w:bookmarkEnd w:id="64"/>
      <w:bookmarkEnd w:id="65"/>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6" w:name="_Toc649"/>
      <w:r>
        <w:rPr>
          <w:rFonts w:cs="Calibri" w:asciiTheme="minorEastAsia" w:hAnsiTheme="minorEastAsia" w:eastAsiaTheme="minorEastAsia"/>
          <w:b/>
          <w:bCs/>
          <w:kern w:val="0"/>
          <w:sz w:val="22"/>
        </w:rPr>
        <w:t>4.1 投标文件的密封和标识</w:t>
      </w:r>
      <w:bookmarkEnd w:id="66"/>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4.1.1</w:t>
      </w:r>
      <w:r>
        <w:rPr>
          <w:rFonts w:cs="Calibri" w:asciiTheme="minorEastAsia" w:hAnsiTheme="minorEastAsia" w:eastAsiaTheme="minorEastAsia"/>
          <w:color w:val="000000"/>
          <w:kern w:val="0"/>
          <w:sz w:val="22"/>
        </w:rPr>
        <w:t>投标文件的正本、副本可一同</w:t>
      </w:r>
      <w:r>
        <w:rPr>
          <w:rFonts w:hint="eastAsia" w:cs="Calibri" w:asciiTheme="minorEastAsia" w:hAnsiTheme="minorEastAsia" w:eastAsiaTheme="minorEastAsia"/>
          <w:color w:val="000000"/>
          <w:kern w:val="0"/>
          <w:sz w:val="22"/>
        </w:rPr>
        <w:t>密封</w:t>
      </w:r>
      <w:r>
        <w:rPr>
          <w:rFonts w:cs="Calibri" w:asciiTheme="minorEastAsia" w:hAnsiTheme="minorEastAsia" w:eastAsiaTheme="minorEastAsia"/>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4.1.3 未按本章第4.1.1项或第4.1.2项要求密封和加写标记的投标文件，招标人不予受理。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4.1.</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7" w:name="_Toc16616"/>
      <w:r>
        <w:rPr>
          <w:rFonts w:cs="Calibri" w:asciiTheme="minorEastAsia" w:hAnsiTheme="minorEastAsia" w:eastAsiaTheme="minorEastAsia"/>
          <w:b/>
          <w:bCs/>
          <w:kern w:val="0"/>
          <w:sz w:val="22"/>
        </w:rPr>
        <w:t xml:space="preserve">4.2 投标文件的递交 </w:t>
      </w:r>
      <w:bookmarkEnd w:id="67"/>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4.2.1投标人应在本须知前附表规定的投标截止时间前递交投标文件。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4.2.2投标人送达投标文件的地点：见投标人须知前附表。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4.2.3除投标人须知前附表另有规定外，投标人所递交的投标文件不予退还。</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逾期送达的或者未送达指定地点的投标文件，招标人不予受理。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8" w:name="_Toc26099"/>
      <w:r>
        <w:rPr>
          <w:rFonts w:cs="Calibri" w:asciiTheme="minorEastAsia" w:hAnsiTheme="minorEastAsia" w:eastAsiaTheme="minorEastAsia"/>
          <w:b/>
          <w:bCs/>
          <w:kern w:val="0"/>
          <w:sz w:val="22"/>
        </w:rPr>
        <w:t>4.3 投标文件的修改和撤回</w:t>
      </w:r>
      <w:bookmarkEnd w:id="6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9" w:name="_Toc29641"/>
      <w:r>
        <w:rPr>
          <w:rFonts w:cs="Calibri" w:asciiTheme="minorEastAsia" w:hAnsiTheme="minorEastAsia" w:eastAsiaTheme="minorEastAsia"/>
          <w:b/>
          <w:bCs/>
          <w:kern w:val="0"/>
          <w:sz w:val="22"/>
        </w:rPr>
        <w:t>5.开标</w:t>
      </w:r>
      <w:bookmarkEnd w:id="6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0" w:name="_Toc15123"/>
      <w:r>
        <w:rPr>
          <w:rFonts w:cs="Calibri" w:asciiTheme="minorEastAsia" w:hAnsiTheme="minorEastAsia" w:eastAsiaTheme="minorEastAsia"/>
          <w:b/>
          <w:bCs/>
          <w:kern w:val="0"/>
          <w:sz w:val="22"/>
        </w:rPr>
        <w:t>5.1 开标时间和地点</w:t>
      </w:r>
      <w:bookmarkEnd w:id="7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5.1.2投标人在投标时应随身携带下列资料提交招标人</w:t>
      </w:r>
    </w:p>
    <w:p>
      <w:pPr>
        <w:adjustRightInd w:val="0"/>
        <w:snapToGrid w:val="0"/>
        <w:spacing w:line="360" w:lineRule="exact"/>
        <w:ind w:firstLine="440" w:firstLineChars="200"/>
        <w:rPr>
          <w:rFonts w:cs="Calibri" w:asciiTheme="minorEastAsia" w:hAnsiTheme="minorEastAsia" w:eastAsiaTheme="minorEastAsia"/>
          <w:sz w:val="22"/>
        </w:rPr>
      </w:pPr>
      <w:bookmarkStart w:id="71" w:name="_Toc7101"/>
      <w:r>
        <w:rPr>
          <w:rFonts w:cs="Calibri" w:asciiTheme="minorEastAsia" w:hAnsiTheme="minorEastAsia" w:eastAsiaTheme="minorEastAsia"/>
          <w:sz w:val="22"/>
        </w:rPr>
        <w:t>（1）委托代理人的身份证、法定代表人授权委托书</w:t>
      </w:r>
      <w:r>
        <w:rPr>
          <w:rFonts w:hint="eastAsia" w:cs="Calibri" w:asciiTheme="minorEastAsia" w:hAnsiTheme="minorEastAsia" w:eastAsiaTheme="minorEastAsia"/>
          <w:sz w:val="22"/>
        </w:rPr>
        <w:t>（装订在投标文件内亦可）</w:t>
      </w:r>
      <w:r>
        <w:rPr>
          <w:rFonts w:cs="Calibri" w:asciiTheme="minorEastAsia" w:hAnsiTheme="minorEastAsia" w:eastAsiaTheme="minorEastAsia"/>
          <w:sz w:val="22"/>
        </w:rPr>
        <w:t>；</w:t>
      </w:r>
    </w:p>
    <w:p>
      <w:pPr>
        <w:adjustRightInd w:val="0"/>
        <w:snapToGrid w:val="0"/>
        <w:spacing w:line="360" w:lineRule="exact"/>
        <w:ind w:firstLine="440" w:firstLineChars="200"/>
        <w:rPr>
          <w:rFonts w:cs="Calibri" w:asciiTheme="minorEastAsia" w:hAnsiTheme="minorEastAsia" w:eastAsiaTheme="minorEastAsia"/>
          <w:sz w:val="22"/>
        </w:rPr>
      </w:pPr>
      <w:r>
        <w:rPr>
          <w:rFonts w:cs="Calibri" w:asciiTheme="minorEastAsia" w:hAnsiTheme="minorEastAsia" w:eastAsiaTheme="minorEastAsia"/>
          <w:sz w:val="22"/>
        </w:rPr>
        <w:t>（2）投标保证金收执证明或汇款凭证或银行回单</w:t>
      </w:r>
      <w:r>
        <w:rPr>
          <w:rFonts w:hint="eastAsia" w:cs="Calibri" w:asciiTheme="minorEastAsia" w:hAnsiTheme="minorEastAsia" w:eastAsiaTheme="minorEastAsia"/>
          <w:sz w:val="22"/>
        </w:rPr>
        <w:t>（装订在投标文件内亦可）</w:t>
      </w:r>
      <w:r>
        <w:rPr>
          <w:rFonts w:cs="Calibri" w:asciiTheme="minorEastAsia" w:hAnsiTheme="minorEastAsia" w:eastAsiaTheme="minorEastAsia"/>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5.2 开标程序</w:t>
      </w:r>
      <w:bookmarkEnd w:id="71"/>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主持人按下列程序进行开标：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（1）宣布开标纪律；</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（3）宣布开标人、唱标人、记录人、监标人等有关人员姓名；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（4）按照投标人须知前附表规定检查投标文件的密封情况；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（5）按照投标人须知前附表的规定确定并宣布投标文件开标顺序；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w:t>
      </w:r>
      <w:r>
        <w:rPr>
          <w:rFonts w:cs="Calibri" w:asciiTheme="minorEastAsia" w:hAnsiTheme="minorEastAsia" w:eastAsiaTheme="minorEastAsia"/>
          <w:color w:val="000000"/>
          <w:sz w:val="22"/>
        </w:rPr>
        <w:t>按照宣布的开标顺序当众开标，公布投标人名称、投标保证金的递交情况、投标报价、</w:t>
      </w:r>
      <w:r>
        <w:rPr>
          <w:rFonts w:hint="eastAsia" w:cs="Calibri" w:asciiTheme="minorEastAsia" w:hAnsiTheme="minorEastAsia" w:eastAsiaTheme="minorEastAsia"/>
          <w:color w:val="000000"/>
          <w:sz w:val="22"/>
        </w:rPr>
        <w:t>服务期</w:t>
      </w:r>
      <w:r>
        <w:rPr>
          <w:rFonts w:cs="Calibri" w:asciiTheme="minorEastAsia" w:hAnsiTheme="minorEastAsia" w:eastAsiaTheme="minorEastAsia"/>
          <w:color w:val="000000"/>
          <w:sz w:val="22"/>
        </w:rPr>
        <w:t>及其他内容，并记录在案；</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（8）开标结束。</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2" w:name="_Toc31578"/>
      <w:r>
        <w:rPr>
          <w:rFonts w:cs="Calibri" w:asciiTheme="minorEastAsia" w:hAnsiTheme="minorEastAsia" w:eastAsiaTheme="minorEastAsia"/>
          <w:b/>
          <w:bCs/>
          <w:kern w:val="0"/>
          <w:sz w:val="22"/>
        </w:rPr>
        <w:t>6.评标</w:t>
      </w:r>
      <w:bookmarkEnd w:id="72"/>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3" w:name="_Toc10279"/>
      <w:r>
        <w:rPr>
          <w:rFonts w:cs="Calibri" w:asciiTheme="minorEastAsia" w:hAnsiTheme="minorEastAsia" w:eastAsiaTheme="minorEastAsia"/>
          <w:b/>
          <w:bCs/>
          <w:kern w:val="0"/>
          <w:sz w:val="22"/>
        </w:rPr>
        <w:t>6.1 评标委员会</w:t>
      </w:r>
      <w:bookmarkEnd w:id="73"/>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6.1.1</w:t>
      </w:r>
      <w:r>
        <w:rPr>
          <w:rFonts w:cs="Calibri" w:asciiTheme="minorEastAsia" w:hAnsiTheme="minorEastAsia" w:eastAsiaTheme="minorEastAsia"/>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6.1.2评标委员会成员有下列情形之一的，应当回避：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（1）招标人或投标人的主要负责人的近亲属；</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（2）项目主管部门或者行政监督部门的人员；</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（3）与投标人有经济利益关系，可能影响对投标公正评审的；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4" w:name="_Toc3460"/>
      <w:r>
        <w:rPr>
          <w:rFonts w:cs="Calibri" w:asciiTheme="minorEastAsia" w:hAnsiTheme="minorEastAsia" w:eastAsiaTheme="minorEastAsia"/>
          <w:b/>
          <w:bCs/>
          <w:kern w:val="0"/>
          <w:sz w:val="22"/>
        </w:rPr>
        <w:t>6.2 评标原则</w:t>
      </w:r>
      <w:bookmarkEnd w:id="74"/>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评标活动遵循公平、公正、科学和择优的原则。</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5" w:name="_Toc28178"/>
      <w:r>
        <w:rPr>
          <w:rFonts w:cs="Calibri" w:asciiTheme="minorEastAsia" w:hAnsiTheme="minorEastAsia" w:eastAsiaTheme="minorEastAsia"/>
          <w:b/>
          <w:bCs/>
          <w:kern w:val="0"/>
          <w:sz w:val="22"/>
        </w:rPr>
        <w:t>6.3 评标</w:t>
      </w:r>
      <w:bookmarkEnd w:id="75"/>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评标委员会按照第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章“评标方法及标准”对投标文件进行评审。第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章“评标方法及标准”没有规定的方法、评审因素和标准，不作为评标依据。</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6" w:name="_Toc24237"/>
      <w:r>
        <w:rPr>
          <w:rFonts w:cs="Calibri" w:asciiTheme="minorEastAsia" w:hAnsiTheme="minorEastAsia" w:eastAsiaTheme="minorEastAsia"/>
          <w:b/>
          <w:bCs/>
          <w:kern w:val="0"/>
          <w:sz w:val="22"/>
        </w:rPr>
        <w:t>7.合同授予</w:t>
      </w:r>
      <w:bookmarkEnd w:id="76"/>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7" w:name="_Toc18809"/>
      <w:r>
        <w:rPr>
          <w:rFonts w:cs="Calibri" w:asciiTheme="minorEastAsia" w:hAnsiTheme="minorEastAsia" w:eastAsiaTheme="minorEastAsia"/>
          <w:b/>
          <w:bCs/>
          <w:kern w:val="0"/>
          <w:sz w:val="22"/>
        </w:rPr>
        <w:t>7.1 定标方式</w:t>
      </w:r>
      <w:bookmarkEnd w:id="7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8" w:name="_Toc14573"/>
      <w:r>
        <w:rPr>
          <w:rFonts w:cs="Calibri" w:asciiTheme="minorEastAsia" w:hAnsiTheme="minorEastAsia" w:eastAsiaTheme="minorEastAsia"/>
          <w:b/>
          <w:bCs/>
          <w:kern w:val="0"/>
          <w:sz w:val="22"/>
        </w:rPr>
        <w:t>7.2 中标通知</w:t>
      </w:r>
      <w:bookmarkEnd w:id="7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9" w:name="_Toc27132"/>
      <w:bookmarkStart w:id="80" w:name="_Toc27581"/>
      <w:r>
        <w:rPr>
          <w:rFonts w:cs="Calibri" w:asciiTheme="minorEastAsia" w:hAnsiTheme="minorEastAsia" w:eastAsiaTheme="minorEastAsia"/>
          <w:b/>
          <w:bCs/>
          <w:kern w:val="0"/>
          <w:sz w:val="22"/>
        </w:rPr>
        <w:t>7.3 履约</w:t>
      </w:r>
      <w:r>
        <w:rPr>
          <w:rFonts w:hint="eastAsia" w:cs="Calibri" w:asciiTheme="minorEastAsia" w:hAnsiTheme="minorEastAsia" w:eastAsiaTheme="minorEastAsia"/>
          <w:b/>
          <w:bCs/>
          <w:kern w:val="0"/>
          <w:sz w:val="22"/>
        </w:rPr>
        <w:t>保证金</w:t>
      </w:r>
      <w:bookmarkEnd w:id="79"/>
    </w:p>
    <w:p>
      <w:pPr>
        <w:adjustRightInd w:val="0"/>
        <w:snapToGrid w:val="0"/>
        <w:spacing w:line="360" w:lineRule="exact"/>
        <w:ind w:firstLine="440" w:firstLineChars="200"/>
        <w:rPr>
          <w:rFonts w:cs="Calibri" w:asciiTheme="minorEastAsia" w:hAnsiTheme="minorEastAsia" w:eastAsiaTheme="minorEastAsia"/>
          <w:kern w:val="0"/>
          <w:sz w:val="22"/>
        </w:rPr>
      </w:pPr>
      <w:r>
        <w:rPr>
          <w:rFonts w:cs="Calibri" w:asciiTheme="minorEastAsia" w:hAnsiTheme="minorEastAsia" w:eastAsiaTheme="minorEastAsia"/>
          <w:kern w:val="0"/>
          <w:sz w:val="22"/>
        </w:rPr>
        <w:t>7.3.1在签订合同前，中标人应按投标人须知前附表规定的金额</w:t>
      </w:r>
      <w:r>
        <w:rPr>
          <w:rFonts w:hint="eastAsia" w:cs="Calibri" w:asciiTheme="minorEastAsia" w:hAnsiTheme="minorEastAsia" w:eastAsiaTheme="minorEastAsia"/>
          <w:kern w:val="0"/>
          <w:sz w:val="22"/>
        </w:rPr>
        <w:t>和</w:t>
      </w:r>
      <w:r>
        <w:rPr>
          <w:rFonts w:cs="Calibri" w:asciiTheme="minorEastAsia" w:hAnsiTheme="minorEastAsia" w:eastAsiaTheme="minorEastAsia"/>
          <w:kern w:val="0"/>
          <w:sz w:val="22"/>
        </w:rPr>
        <w:t>担保形式向招标人提交履约</w:t>
      </w:r>
      <w:r>
        <w:rPr>
          <w:rFonts w:hint="eastAsia" w:cs="Calibri" w:asciiTheme="minorEastAsia" w:hAnsiTheme="minorEastAsia" w:eastAsiaTheme="minorEastAsia"/>
          <w:kern w:val="0"/>
          <w:sz w:val="22"/>
        </w:rPr>
        <w:t>保证金</w:t>
      </w:r>
      <w:r>
        <w:rPr>
          <w:rFonts w:cs="Calibri" w:asciiTheme="minorEastAsia" w:hAnsiTheme="minorEastAsia" w:eastAsiaTheme="minorEastAsia"/>
          <w:kern w:val="0"/>
          <w:sz w:val="22"/>
        </w:rPr>
        <w:t>。</w:t>
      </w:r>
    </w:p>
    <w:p>
      <w:pPr>
        <w:adjustRightInd w:val="0"/>
        <w:snapToGrid w:val="0"/>
        <w:spacing w:line="360" w:lineRule="exact"/>
        <w:ind w:firstLine="440" w:firstLineChars="200"/>
        <w:rPr>
          <w:rFonts w:cs="Calibri" w:asciiTheme="minorEastAsia" w:hAnsiTheme="minorEastAsia" w:eastAsiaTheme="minorEastAsia"/>
          <w:kern w:val="0"/>
          <w:sz w:val="22"/>
        </w:rPr>
      </w:pPr>
      <w:r>
        <w:rPr>
          <w:rFonts w:cs="Calibri" w:asciiTheme="minorEastAsia" w:hAnsiTheme="minorEastAsia" w:eastAsiaTheme="minorEastAsia"/>
          <w:kern w:val="0"/>
          <w:sz w:val="22"/>
        </w:rPr>
        <w:t>7.3.2 中标人不能按本章第7.3.1项要求提交履约</w:t>
      </w:r>
      <w:r>
        <w:rPr>
          <w:rFonts w:hint="eastAsia" w:cs="Calibri" w:asciiTheme="minorEastAsia" w:hAnsiTheme="minorEastAsia" w:eastAsiaTheme="minorEastAsia"/>
          <w:kern w:val="0"/>
          <w:sz w:val="22"/>
        </w:rPr>
        <w:t>保证金</w:t>
      </w:r>
      <w:r>
        <w:rPr>
          <w:rFonts w:cs="Calibri" w:asciiTheme="minorEastAsia" w:hAnsiTheme="minorEastAsia" w:eastAsiaTheme="minorEastAsia"/>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7.4 签订合同</w:t>
      </w:r>
      <w:bookmarkEnd w:id="80"/>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7</w:t>
      </w:r>
      <w:bookmarkStart w:id="81" w:name="_Toc219809801"/>
      <w:bookmarkStart w:id="82" w:name="_Toc11806"/>
      <w:bookmarkStart w:id="83" w:name="_Toc220123241"/>
      <w:r>
        <w:rPr>
          <w:rFonts w:cs="Calibri" w:asciiTheme="minorEastAsia" w:hAnsiTheme="minorEastAsia" w:eastAsiaTheme="minorEastAsia"/>
          <w:color w:val="000000"/>
          <w:kern w:val="0"/>
          <w:sz w:val="22"/>
        </w:rPr>
        <w:t>.4.1招标人和中标人应当自中标通知书发出之日起30个工作日内订立书面合同（合同条款按第</w:t>
      </w:r>
      <w:r>
        <w:rPr>
          <w:rFonts w:hint="eastAsia" w:cs="Calibri" w:asciiTheme="minorEastAsia" w:hAnsiTheme="minorEastAsia" w:eastAsiaTheme="minorEastAsia"/>
          <w:color w:val="000000"/>
          <w:kern w:val="0"/>
          <w:sz w:val="22"/>
        </w:rPr>
        <w:t>四</w:t>
      </w:r>
      <w:r>
        <w:rPr>
          <w:rFonts w:cs="Calibri" w:asciiTheme="minorEastAsia" w:hAnsiTheme="minorEastAsia" w:eastAsiaTheme="minorEastAsia"/>
          <w:color w:val="000000"/>
          <w:kern w:val="0"/>
          <w:sz w:val="22"/>
        </w:rPr>
        <w:t>章</w:t>
      </w:r>
      <w:r>
        <w:rPr>
          <w:rFonts w:hint="eastAsia" w:cs="Calibri" w:asciiTheme="minorEastAsia" w:hAnsiTheme="minorEastAsia" w:eastAsiaTheme="minorEastAsia"/>
          <w:kern w:val="0"/>
          <w:sz w:val="22"/>
        </w:rPr>
        <w:t>“</w:t>
      </w:r>
      <w:r>
        <w:rPr>
          <w:rFonts w:cs="Calibri" w:asciiTheme="minorEastAsia" w:hAnsiTheme="minorEastAsia" w:eastAsiaTheme="minorEastAsia"/>
          <w:kern w:val="0"/>
          <w:sz w:val="22"/>
        </w:rPr>
        <w:t>合同条款</w:t>
      </w:r>
      <w:r>
        <w:rPr>
          <w:rFonts w:hint="eastAsia" w:cs="Calibri" w:asciiTheme="minorEastAsia" w:hAnsiTheme="minorEastAsia" w:eastAsiaTheme="minorEastAsia"/>
          <w:kern w:val="0"/>
          <w:sz w:val="22"/>
        </w:rPr>
        <w:t>”</w:t>
      </w:r>
      <w:r>
        <w:rPr>
          <w:rFonts w:cs="Calibri" w:asciiTheme="minorEastAsia" w:hAnsiTheme="minorEastAsia" w:eastAsiaTheme="minorEastAsia"/>
          <w:color w:val="000000"/>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0" w:firstLineChars="200"/>
        <w:rPr>
          <w:rFonts w:cs="Calibri" w:asciiTheme="minorEastAsia" w:hAnsiTheme="minorEastAsia" w:eastAsiaTheme="minorEastAsia"/>
          <w:b/>
          <w:color w:val="000000"/>
          <w:kern w:val="0"/>
          <w:sz w:val="22"/>
        </w:rPr>
      </w:pPr>
      <w:r>
        <w:rPr>
          <w:rFonts w:hint="eastAsia" w:cs="Calibri" w:asciiTheme="minorEastAsia" w:hAnsiTheme="minorEastAsia" w:eastAsiaTheme="minorEastAsia"/>
          <w:color w:val="000000"/>
          <w:kern w:val="0"/>
          <w:sz w:val="22"/>
        </w:rPr>
        <w:t xml:space="preserve">7.4.3 </w:t>
      </w:r>
      <w:r>
        <w:rPr>
          <w:rFonts w:hint="eastAsia" w:cs="Calibri" w:asciiTheme="minorEastAsia" w:hAnsiTheme="minorEastAsia" w:eastAsiaTheme="minorEastAsia"/>
          <w:b/>
          <w:color w:val="000000"/>
          <w:kern w:val="0"/>
          <w:sz w:val="22"/>
        </w:rPr>
        <w:t>招标人在授予合同有权对本项目的服务内容等予以增加或者减少，中标人不得提出异议，否则招标人有权取消其中标资格。</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hint="eastAsia" w:cs="Calibri" w:asciiTheme="minorEastAsia" w:hAnsiTheme="minorEastAsia" w:eastAsiaTheme="minorEastAsia"/>
          <w:color w:val="000000"/>
          <w:kern w:val="0"/>
          <w:sz w:val="22"/>
        </w:rPr>
        <w:t xml:space="preserve">7.4.4 </w:t>
      </w:r>
      <w:r>
        <w:rPr>
          <w:rFonts w:hint="eastAsia" w:cs="Calibri" w:asciiTheme="minorEastAsia" w:hAnsiTheme="minorEastAsia" w:eastAsiaTheme="minorEastAsia"/>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8.重新招标和不再招标</w:t>
      </w:r>
      <w:bookmarkEnd w:id="81"/>
      <w:bookmarkEnd w:id="82"/>
      <w:bookmarkEnd w:id="8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4" w:name="_Toc219809802"/>
      <w:bookmarkStart w:id="85" w:name="_Toc15553"/>
      <w:bookmarkStart w:id="86" w:name="_Toc220123242"/>
      <w:r>
        <w:rPr>
          <w:rFonts w:cs="Calibri" w:asciiTheme="minorEastAsia" w:hAnsiTheme="minorEastAsia" w:eastAsiaTheme="minorEastAsia"/>
          <w:b/>
          <w:bCs/>
          <w:kern w:val="0"/>
          <w:sz w:val="22"/>
        </w:rPr>
        <w:t>8.1 重新招标</w:t>
      </w:r>
      <w:bookmarkEnd w:id="84"/>
      <w:bookmarkEnd w:id="85"/>
      <w:bookmarkEnd w:id="8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有下列情形之一的，招标人将重新招标；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（1）投标截止时间止，投标人少于3个的；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hint="eastAsia" w:cs="Calibri" w:asciiTheme="minorEastAsia" w:hAnsiTheme="minorEastAsia" w:eastAsiaTheme="minorEastAsia"/>
          <w:color w:val="000000"/>
          <w:kern w:val="0"/>
          <w:sz w:val="22"/>
        </w:rPr>
        <w:t>（2）</w:t>
      </w:r>
      <w:r>
        <w:rPr>
          <w:rFonts w:hint="eastAsia" w:asciiTheme="minorEastAsia" w:hAnsiTheme="minorEastAsia" w:eastAsiaTheme="minorEastAsia"/>
          <w:b/>
          <w:bCs/>
          <w:sz w:val="22"/>
        </w:rPr>
        <w:t>所有投标人的报价均偏高，招标人无法接受的；</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）经评标委员会评审后否决所有投标的。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7" w:name="_Toc220123243"/>
      <w:bookmarkStart w:id="88" w:name="_Toc219809803"/>
      <w:bookmarkStart w:id="89" w:name="_Toc18806"/>
      <w:r>
        <w:rPr>
          <w:rFonts w:cs="Calibri" w:asciiTheme="minorEastAsia" w:hAnsiTheme="minorEastAsia" w:eastAsiaTheme="minorEastAsia"/>
          <w:b/>
          <w:bCs/>
          <w:kern w:val="0"/>
          <w:sz w:val="22"/>
        </w:rPr>
        <w:t>8.2 不再招标</w:t>
      </w:r>
      <w:bookmarkEnd w:id="87"/>
      <w:bookmarkEnd w:id="88"/>
      <w:bookmarkEnd w:id="8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重新招标后投标人仍少于3个或者所有投标被否决的，经批准后不再进行招标。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0" w:name="_Toc215941254"/>
      <w:bookmarkStart w:id="91" w:name="_Toc2986"/>
      <w:bookmarkStart w:id="92" w:name="_Toc219809804"/>
      <w:bookmarkStart w:id="93" w:name="_Toc220123244"/>
      <w:r>
        <w:rPr>
          <w:rFonts w:cs="Calibri" w:asciiTheme="minorEastAsia" w:hAnsiTheme="minorEastAsia" w:eastAsiaTheme="minorEastAsia"/>
          <w:b/>
          <w:bCs/>
          <w:kern w:val="0"/>
          <w:sz w:val="22"/>
        </w:rPr>
        <w:t>9.纪律和监督</w:t>
      </w:r>
      <w:bookmarkEnd w:id="90"/>
      <w:bookmarkEnd w:id="91"/>
      <w:bookmarkEnd w:id="92"/>
      <w:bookmarkEnd w:id="9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4" w:name="_Toc5509"/>
      <w:bookmarkStart w:id="95" w:name="_Toc219809805"/>
      <w:bookmarkStart w:id="96" w:name="_Toc220123245"/>
      <w:r>
        <w:rPr>
          <w:rFonts w:cs="Calibri" w:asciiTheme="minorEastAsia" w:hAnsiTheme="minorEastAsia" w:eastAsiaTheme="minorEastAsia"/>
          <w:b/>
          <w:bCs/>
          <w:kern w:val="0"/>
          <w:sz w:val="22"/>
        </w:rPr>
        <w:t>9.1 对招标人的纪律要求</w:t>
      </w:r>
      <w:bookmarkEnd w:id="94"/>
      <w:bookmarkEnd w:id="95"/>
      <w:bookmarkEnd w:id="9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7" w:name="_Toc10820"/>
      <w:bookmarkStart w:id="98" w:name="_Toc220123246"/>
      <w:bookmarkStart w:id="99" w:name="_Toc219809806"/>
      <w:r>
        <w:rPr>
          <w:rFonts w:cs="Calibri" w:asciiTheme="minorEastAsia" w:hAnsiTheme="minorEastAsia" w:eastAsiaTheme="minorEastAsia"/>
          <w:b/>
          <w:bCs/>
          <w:kern w:val="0"/>
          <w:sz w:val="22"/>
        </w:rPr>
        <w:t>9.2 对投标人的纪律要求</w:t>
      </w:r>
      <w:bookmarkEnd w:id="97"/>
      <w:bookmarkEnd w:id="98"/>
      <w:bookmarkEnd w:id="9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cs="Calibri" w:asciiTheme="minorEastAsia" w:hAnsiTheme="minorEastAsia" w:eastAsiaTheme="minorEastAsia"/>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0" w:name="_Toc220123247"/>
      <w:bookmarkStart w:id="101" w:name="_Toc10756"/>
      <w:bookmarkStart w:id="102" w:name="_Toc219809807"/>
      <w:r>
        <w:rPr>
          <w:rFonts w:cs="Calibri" w:asciiTheme="minorEastAsia" w:hAnsiTheme="minorEastAsia" w:eastAsiaTheme="minorEastAsia"/>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cs="Calibri" w:asciiTheme="minorEastAsia" w:hAnsiTheme="minorEastAsia" w:eastAsiaTheme="minorEastAsia"/>
          <w:color w:val="000000"/>
          <w:sz w:val="22"/>
        </w:rPr>
        <w:t>五</w:t>
      </w:r>
      <w:r>
        <w:rPr>
          <w:rFonts w:cs="Calibri" w:asciiTheme="minorEastAsia" w:hAnsiTheme="minorEastAsia" w:eastAsiaTheme="minorEastAsia"/>
          <w:color w:val="000000"/>
          <w:sz w:val="22"/>
        </w:rPr>
        <w:t>章“评标办法及标准”没有规定的评审因素和标准进行评标。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3" w:name="_Toc220123248"/>
      <w:bookmarkStart w:id="104" w:name="_Toc12792"/>
      <w:bookmarkStart w:id="105" w:name="_Toc219809808"/>
      <w:r>
        <w:rPr>
          <w:rFonts w:cs="Calibri" w:asciiTheme="minorEastAsia" w:hAnsiTheme="minorEastAsia" w:eastAsiaTheme="minorEastAsia"/>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6" w:name="_Toc220123249"/>
      <w:bookmarkStart w:id="107" w:name="_Toc219809809"/>
      <w:bookmarkStart w:id="108" w:name="_Toc239"/>
      <w:r>
        <w:rPr>
          <w:rFonts w:cs="Calibri" w:asciiTheme="minorEastAsia" w:hAnsiTheme="minorEastAsia" w:eastAsiaTheme="minorEastAsia"/>
          <w:b/>
          <w:bCs/>
          <w:kern w:val="0"/>
          <w:sz w:val="22"/>
        </w:rPr>
        <w:t>9.5 投诉</w:t>
      </w:r>
      <w:bookmarkEnd w:id="106"/>
      <w:bookmarkEnd w:id="107"/>
      <w:bookmarkEnd w:id="108"/>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9" w:name="_Toc10817"/>
      <w:r>
        <w:rPr>
          <w:rFonts w:cs="Calibri" w:asciiTheme="minorEastAsia" w:hAnsiTheme="minorEastAsia" w:eastAsiaTheme="minorEastAsia"/>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需要补充的其他内容：见投标人须知前附表。</w:t>
      </w:r>
    </w:p>
    <w:p>
      <w:pPr>
        <w:pStyle w:val="2"/>
        <w:snapToGrid w:val="0"/>
        <w:spacing w:before="0" w:after="0" w:line="360" w:lineRule="exact"/>
        <w:jc w:val="center"/>
        <w:rPr>
          <w:rFonts w:asciiTheme="minorEastAsia" w:hAnsiTheme="minorEastAsia" w:eastAsiaTheme="minorEastAsia"/>
          <w:sz w:val="22"/>
          <w:szCs w:val="22"/>
        </w:rPr>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spacing w:line="440" w:lineRule="exact"/>
        <w:jc w:val="center"/>
        <w:rPr>
          <w:rFonts w:ascii="仿宋_GB2312" w:hAnsi="宋体" w:eastAsia="仿宋_GB2312"/>
          <w:b/>
          <w:sz w:val="28"/>
          <w:szCs w:val="28"/>
        </w:rPr>
      </w:pPr>
      <w:bookmarkStart w:id="110" w:name="_Toc223327527"/>
      <w:bookmarkStart w:id="111" w:name="_Toc213036227"/>
    </w:p>
    <w:p>
      <w:pPr>
        <w:pStyle w:val="2"/>
        <w:spacing w:before="0" w:after="0" w:line="360" w:lineRule="auto"/>
        <w:jc w:val="center"/>
        <w:rPr>
          <w:rFonts w:ascii="Calibri" w:hAnsi="Calibri" w:eastAsia="黑体" w:cs="Calibri"/>
          <w:kern w:val="0"/>
          <w:sz w:val="32"/>
        </w:rPr>
      </w:pPr>
      <w:bookmarkStart w:id="112" w:name="_Toc448002985"/>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 xml:space="preserve">章  </w:t>
      </w:r>
      <w:bookmarkEnd w:id="110"/>
      <w:bookmarkEnd w:id="111"/>
      <w:r>
        <w:rPr>
          <w:rFonts w:hint="eastAsia" w:ascii="Calibri" w:hAnsi="Calibri" w:eastAsia="黑体" w:cs="Calibri"/>
          <w:kern w:val="0"/>
          <w:sz w:val="32"/>
        </w:rPr>
        <w:t>服务技术标准及要求</w:t>
      </w:r>
      <w:bookmarkEnd w:id="112"/>
    </w:p>
    <w:p>
      <w:pPr>
        <w:pStyle w:val="45"/>
        <w:jc w:val="both"/>
        <w:rPr>
          <w:rFonts w:hint="eastAsia" w:ascii="宋体;SimSun" w:hAnsi="宋体;SimSun" w:cs="Calibri"/>
          <w:sz w:val="22"/>
          <w:szCs w:val="22"/>
        </w:rPr>
      </w:pPr>
      <w:r>
        <w:rPr>
          <w:rFonts w:ascii="宋体;SimSun" w:hAnsi="宋体;SimSun" w:cs="Calibri"/>
          <w:sz w:val="22"/>
          <w:szCs w:val="22"/>
        </w:rPr>
        <w:t>一、需求一览表</w:t>
      </w:r>
    </w:p>
    <w:tbl>
      <w:tblPr>
        <w:tblStyle w:val="53"/>
        <w:tblW w:w="86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2672"/>
        <w:gridCol w:w="2442"/>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146" w:type="dxa"/>
            <w:vAlign w:val="center"/>
          </w:tcPr>
          <w:p>
            <w:pPr>
              <w:adjustRightInd w:val="0"/>
              <w:snapToGrid w:val="0"/>
              <w:spacing w:line="400" w:lineRule="exact"/>
              <w:jc w:val="center"/>
              <w:rPr>
                <w:rFonts w:ascii="宋体"/>
                <w:szCs w:val="21"/>
              </w:rPr>
            </w:pPr>
            <w:r>
              <w:rPr>
                <w:rFonts w:hint="eastAsia" w:ascii="宋体"/>
                <w:szCs w:val="21"/>
              </w:rPr>
              <w:t>主要内容</w:t>
            </w:r>
          </w:p>
        </w:tc>
        <w:tc>
          <w:tcPr>
            <w:tcW w:w="2672" w:type="dxa"/>
          </w:tcPr>
          <w:p>
            <w:pPr>
              <w:adjustRightInd w:val="0"/>
              <w:snapToGrid w:val="0"/>
              <w:spacing w:line="400" w:lineRule="exact"/>
              <w:jc w:val="center"/>
              <w:rPr>
                <w:rFonts w:ascii="宋体"/>
                <w:szCs w:val="21"/>
              </w:rPr>
            </w:pPr>
            <w:r>
              <w:rPr>
                <w:rFonts w:ascii="宋体"/>
                <w:szCs w:val="21"/>
              </w:rPr>
              <w:t>主要技术规格</w:t>
            </w:r>
          </w:p>
        </w:tc>
        <w:tc>
          <w:tcPr>
            <w:tcW w:w="2442" w:type="dxa"/>
            <w:vAlign w:val="center"/>
          </w:tcPr>
          <w:p>
            <w:pPr>
              <w:adjustRightInd w:val="0"/>
              <w:snapToGrid w:val="0"/>
              <w:spacing w:line="400" w:lineRule="exact"/>
              <w:jc w:val="center"/>
              <w:rPr>
                <w:rFonts w:ascii="宋体"/>
                <w:szCs w:val="21"/>
              </w:rPr>
            </w:pPr>
            <w:r>
              <w:rPr>
                <w:rFonts w:hint="eastAsia" w:ascii="宋体"/>
                <w:szCs w:val="21"/>
              </w:rPr>
              <w:t>服务期（暂</w:t>
            </w:r>
            <w:r>
              <w:rPr>
                <w:rFonts w:ascii="宋体"/>
                <w:szCs w:val="21"/>
              </w:rPr>
              <w:t>定</w:t>
            </w:r>
            <w:r>
              <w:rPr>
                <w:rFonts w:hint="eastAsia" w:ascii="宋体"/>
                <w:szCs w:val="21"/>
              </w:rPr>
              <w:t>）</w:t>
            </w:r>
          </w:p>
        </w:tc>
        <w:tc>
          <w:tcPr>
            <w:tcW w:w="1340" w:type="dxa"/>
            <w:vAlign w:val="center"/>
          </w:tcPr>
          <w:p>
            <w:pPr>
              <w:adjustRightInd w:val="0"/>
              <w:snapToGrid w:val="0"/>
              <w:spacing w:line="400" w:lineRule="exact"/>
              <w:jc w:val="center"/>
              <w:rPr>
                <w:rFonts w:ascii="宋体"/>
                <w:szCs w:val="21"/>
              </w:rPr>
            </w:pPr>
            <w:r>
              <w:rPr>
                <w:rFonts w:hint="eastAsia" w:ascii="宋体"/>
                <w:szCs w:val="21"/>
              </w:rPr>
              <w:t>服务</w:t>
            </w:r>
            <w:r>
              <w:rPr>
                <w:rFonts w:ascii="宋体"/>
                <w:szCs w:val="21"/>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146" w:type="dxa"/>
            <w:vAlign w:val="center"/>
          </w:tcPr>
          <w:p>
            <w:pPr>
              <w:snapToGrid w:val="0"/>
              <w:spacing w:line="400" w:lineRule="exact"/>
              <w:jc w:val="center"/>
              <w:rPr>
                <w:rFonts w:ascii="宋体"/>
                <w:szCs w:val="21"/>
              </w:rPr>
            </w:pPr>
            <w:r>
              <w:rPr>
                <w:rFonts w:hint="eastAsia" w:ascii="宋体"/>
                <w:szCs w:val="21"/>
              </w:rPr>
              <w:t>机坪车辆车载GPS</w:t>
            </w:r>
            <w:r>
              <w:rPr>
                <w:rFonts w:hint="eastAsia" w:ascii="Times New Roman" w:hAnsi="Times New Roman"/>
                <w:szCs w:val="21"/>
              </w:rPr>
              <w:t>设备使用</w:t>
            </w:r>
            <w:r>
              <w:rPr>
                <w:rFonts w:hint="eastAsia" w:ascii="宋体"/>
                <w:szCs w:val="21"/>
              </w:rPr>
              <w:t>服务（暂定80-120辆）</w:t>
            </w:r>
          </w:p>
        </w:tc>
        <w:tc>
          <w:tcPr>
            <w:tcW w:w="2672" w:type="dxa"/>
          </w:tcPr>
          <w:p>
            <w:pPr>
              <w:adjustRightInd w:val="0"/>
              <w:snapToGrid w:val="0"/>
              <w:spacing w:line="400" w:lineRule="exact"/>
              <w:jc w:val="center"/>
              <w:rPr>
                <w:rFonts w:ascii="宋体"/>
                <w:szCs w:val="21"/>
              </w:rPr>
            </w:pPr>
            <w:r>
              <w:rPr>
                <w:rFonts w:hint="eastAsia" w:ascii="宋体"/>
                <w:szCs w:val="21"/>
              </w:rPr>
              <w:t>详见第三章服务技术标准及要求</w:t>
            </w:r>
          </w:p>
        </w:tc>
        <w:tc>
          <w:tcPr>
            <w:tcW w:w="2442" w:type="dxa"/>
            <w:vAlign w:val="center"/>
          </w:tcPr>
          <w:p>
            <w:pPr>
              <w:adjustRightInd w:val="0"/>
              <w:snapToGrid w:val="0"/>
              <w:spacing w:line="400" w:lineRule="exact"/>
              <w:jc w:val="center"/>
              <w:rPr>
                <w:rFonts w:ascii="宋体"/>
                <w:szCs w:val="21"/>
              </w:rPr>
            </w:pPr>
            <w:r>
              <w:rPr>
                <w:rFonts w:hint="eastAsia" w:ascii="宋体"/>
                <w:szCs w:val="21"/>
              </w:rPr>
              <w:t>2020年1月1日至2020年12月31日</w:t>
            </w:r>
          </w:p>
        </w:tc>
        <w:tc>
          <w:tcPr>
            <w:tcW w:w="1340" w:type="dxa"/>
            <w:vAlign w:val="center"/>
          </w:tcPr>
          <w:p>
            <w:pPr>
              <w:adjustRightInd w:val="0"/>
              <w:snapToGrid w:val="0"/>
              <w:spacing w:line="400" w:lineRule="exact"/>
              <w:jc w:val="center"/>
              <w:rPr>
                <w:rFonts w:ascii="宋体"/>
                <w:szCs w:val="21"/>
              </w:rPr>
            </w:pPr>
            <w:r>
              <w:rPr>
                <w:rFonts w:ascii="宋体"/>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8600" w:type="dxa"/>
            <w:gridSpan w:val="4"/>
            <w:vAlign w:val="center"/>
          </w:tcPr>
          <w:p>
            <w:pPr>
              <w:adjustRightInd w:val="0"/>
              <w:snapToGrid w:val="0"/>
              <w:spacing w:line="400" w:lineRule="exact"/>
              <w:jc w:val="center"/>
              <w:rPr>
                <w:rFonts w:hint="eastAsia" w:ascii="宋体"/>
                <w:szCs w:val="21"/>
              </w:rPr>
            </w:pPr>
            <w:r>
              <w:rPr>
                <w:rFonts w:hint="eastAsia" w:ascii="宋体"/>
                <w:szCs w:val="21"/>
              </w:rPr>
              <w:t>备注</w:t>
            </w:r>
            <w:r>
              <w:rPr>
                <w:rFonts w:ascii="宋体"/>
                <w:szCs w:val="21"/>
              </w:rPr>
              <w:t>：</w:t>
            </w:r>
            <w:r>
              <w:rPr>
                <w:rFonts w:hint="eastAsia" w:ascii="宋体"/>
                <w:szCs w:val="21"/>
              </w:rPr>
              <w:t xml:space="preserve"> 实际</w:t>
            </w:r>
            <w:r>
              <w:rPr>
                <w:rFonts w:ascii="宋体"/>
                <w:szCs w:val="21"/>
              </w:rPr>
              <w:t>安装数量</w:t>
            </w:r>
            <w:r>
              <w:rPr>
                <w:rFonts w:hint="eastAsia" w:ascii="宋体"/>
                <w:szCs w:val="21"/>
              </w:rPr>
              <w:t>与</w:t>
            </w:r>
            <w:r>
              <w:rPr>
                <w:rFonts w:ascii="宋体"/>
                <w:szCs w:val="21"/>
              </w:rPr>
              <w:t>服务</w:t>
            </w:r>
            <w:r>
              <w:rPr>
                <w:rFonts w:hint="eastAsia" w:ascii="宋体"/>
                <w:szCs w:val="21"/>
              </w:rPr>
              <w:t>期</w:t>
            </w:r>
            <w:r>
              <w:rPr>
                <w:rFonts w:ascii="宋体"/>
                <w:szCs w:val="21"/>
              </w:rPr>
              <w:t>以甲方要求为准，甲方</w:t>
            </w:r>
            <w:r>
              <w:rPr>
                <w:rFonts w:hint="eastAsia" w:ascii="宋体"/>
                <w:szCs w:val="21"/>
              </w:rPr>
              <w:t>保留随时</w:t>
            </w:r>
            <w:r>
              <w:rPr>
                <w:rFonts w:ascii="宋体"/>
                <w:szCs w:val="21"/>
              </w:rPr>
              <w:t>调整</w:t>
            </w:r>
            <w:r>
              <w:rPr>
                <w:rFonts w:hint="eastAsia" w:ascii="宋体"/>
                <w:szCs w:val="21"/>
              </w:rPr>
              <w:t>安装</w:t>
            </w:r>
            <w:r>
              <w:rPr>
                <w:rFonts w:ascii="宋体"/>
                <w:szCs w:val="21"/>
              </w:rPr>
              <w:t>数量及服务期的权利，费用按时间安装的数量与服务期结算。</w:t>
            </w:r>
          </w:p>
        </w:tc>
      </w:tr>
    </w:tbl>
    <w:p>
      <w:pPr>
        <w:pStyle w:val="45"/>
        <w:jc w:val="both"/>
        <w:rPr>
          <w:rFonts w:hint="eastAsia" w:ascii="宋体;SimSun" w:hAnsi="宋体;SimSun" w:cs="Calibri"/>
          <w:sz w:val="22"/>
          <w:szCs w:val="22"/>
        </w:rPr>
      </w:pPr>
      <w:r>
        <w:rPr>
          <w:rFonts w:ascii="宋体;SimSun" w:hAnsi="宋体;SimSun" w:cs="Calibri"/>
          <w:sz w:val="22"/>
          <w:szCs w:val="22"/>
        </w:rPr>
        <w:t>二、服务内容和技术标准</w:t>
      </w:r>
    </w:p>
    <w:p>
      <w:pPr>
        <w:pStyle w:val="45"/>
        <w:spacing w:line="360" w:lineRule="exact"/>
        <w:jc w:val="both"/>
      </w:pPr>
      <w:r>
        <w:rPr>
          <w:rFonts w:ascii="宋体;SimSun" w:hAnsi="宋体;SimSun" w:cs="宋体;SimSun"/>
          <w:sz w:val="22"/>
          <w:szCs w:val="22"/>
        </w:rPr>
        <w:t>1</w:t>
      </w:r>
      <w:r>
        <w:rPr>
          <w:rFonts w:ascii="宋体;SimSun" w:hAnsi="宋体;SimSun" w:cs="Calibri"/>
          <w:sz w:val="22"/>
          <w:szCs w:val="22"/>
        </w:rPr>
        <w:t>、服务内容</w:t>
      </w:r>
    </w:p>
    <w:p>
      <w:pPr>
        <w:snapToGrid w:val="0"/>
        <w:spacing w:line="360" w:lineRule="exact"/>
      </w:pPr>
      <w:r>
        <w:rPr>
          <w:rFonts w:ascii="宋体;SimSun" w:hAnsi="宋体;SimSun" w:cs="宋体;SimSun"/>
          <w:b/>
          <w:szCs w:val="21"/>
        </w:rPr>
        <w:t>1.1</w:t>
      </w:r>
      <w:r>
        <w:rPr>
          <w:rFonts w:hint="eastAsia" w:ascii="宋体;SimSun" w:hAnsi="宋体;SimSun" w:cs="宋体;SimSun"/>
          <w:b/>
          <w:szCs w:val="21"/>
        </w:rPr>
        <w:t>提供</w:t>
      </w:r>
      <w:r>
        <w:rPr>
          <w:rFonts w:ascii="宋体;SimSun" w:hAnsi="宋体;SimSun" w:cs="宋体;SimSun"/>
          <w:b/>
          <w:szCs w:val="21"/>
        </w:rPr>
        <w:t>设备</w:t>
      </w:r>
    </w:p>
    <w:p>
      <w:pPr>
        <w:snapToGrid w:val="0"/>
        <w:spacing w:line="360" w:lineRule="exact"/>
        <w:ind w:firstLine="420"/>
        <w:rPr>
          <w:rFonts w:hint="eastAsia" w:ascii="宋体;SimSun" w:hAnsi="宋体;SimSun" w:cs="宋体;SimSun"/>
          <w:szCs w:val="21"/>
        </w:rPr>
      </w:pPr>
      <w:r>
        <w:rPr>
          <w:rFonts w:hint="eastAsia" w:ascii="宋体;SimSun" w:hAnsi="宋体;SimSun" w:cs="宋体;SimSun"/>
          <w:szCs w:val="21"/>
        </w:rPr>
        <w:t>投标人向招标人提供车载GPS设备使用，并提供服务，提供设备</w:t>
      </w:r>
      <w:r>
        <w:rPr>
          <w:rFonts w:ascii="宋体;SimSun" w:hAnsi="宋体;SimSun" w:cs="宋体;SimSun"/>
          <w:szCs w:val="21"/>
        </w:rPr>
        <w:t>包含定位设备、语言播报器和刷卡器，设备规格详见下面“硬件规格及技术指标”说明</w:t>
      </w:r>
      <w:r>
        <w:rPr>
          <w:rFonts w:hint="eastAsia" w:ascii="宋体;SimSun" w:hAnsi="宋体;SimSun" w:cs="宋体;SimSun"/>
          <w:szCs w:val="21"/>
        </w:rPr>
        <w:t>，服务期满后设备由投标人自行拆除取回</w:t>
      </w:r>
      <w:r>
        <w:rPr>
          <w:rFonts w:ascii="宋体;SimSun" w:hAnsi="宋体;SimSun" w:cs="宋体;SimSun"/>
          <w:szCs w:val="21"/>
        </w:rPr>
        <w:t>。</w:t>
      </w:r>
    </w:p>
    <w:p>
      <w:pPr>
        <w:snapToGrid w:val="0"/>
        <w:spacing w:line="360" w:lineRule="exact"/>
      </w:pPr>
      <w:r>
        <w:rPr>
          <w:rFonts w:ascii="宋体;SimSun" w:hAnsi="宋体;SimSun" w:cs="宋体;SimSun"/>
          <w:b/>
          <w:szCs w:val="21"/>
        </w:rPr>
        <w:t>1.2车辆安监系统</w:t>
      </w:r>
    </w:p>
    <w:p>
      <w:pPr>
        <w:snapToGrid w:val="0"/>
        <w:spacing w:line="360" w:lineRule="exact"/>
        <w:ind w:firstLine="420"/>
        <w:rPr>
          <w:rFonts w:hint="eastAsia" w:ascii="宋体;SimSun" w:hAnsi="宋体;SimSun" w:cs="宋体;SimSun"/>
          <w:szCs w:val="21"/>
        </w:rPr>
      </w:pPr>
      <w:r>
        <w:rPr>
          <w:rFonts w:ascii="宋体;SimSun" w:hAnsi="宋体;SimSun" w:cs="宋体;SimSun"/>
          <w:szCs w:val="21"/>
        </w:rPr>
        <w:t>提供机坪车辆管理系统的服务。具体如下：</w:t>
      </w:r>
    </w:p>
    <w:p>
      <w:pPr>
        <w:snapToGrid w:val="0"/>
        <w:spacing w:line="360" w:lineRule="exact"/>
        <w:ind w:firstLine="420"/>
      </w:pPr>
      <w:r>
        <w:rPr>
          <w:rFonts w:ascii="宋体;SimSun" w:hAnsi="宋体;SimSun" w:cs="宋体;SimSun"/>
          <w:szCs w:val="21"/>
        </w:rPr>
        <w:t>（1）账户服务：包括账户开设和监管车辆的信息维护；</w:t>
      </w:r>
    </w:p>
    <w:p>
      <w:pPr>
        <w:snapToGrid w:val="0"/>
        <w:spacing w:line="360" w:lineRule="exact"/>
        <w:ind w:firstLine="420"/>
      </w:pPr>
      <w:r>
        <w:rPr>
          <w:rFonts w:ascii="宋体;SimSun" w:hAnsi="宋体;SimSun" w:cs="宋体;SimSun"/>
          <w:szCs w:val="21"/>
        </w:rPr>
        <w:t>（2）系统访问服务：提供公网访问的网址或IP地址，以便招标人访问使用安监服务；</w:t>
      </w:r>
    </w:p>
    <w:p>
      <w:pPr>
        <w:snapToGrid w:val="0"/>
        <w:spacing w:line="360" w:lineRule="exact"/>
        <w:ind w:firstLine="420"/>
      </w:pPr>
      <w:r>
        <w:rPr>
          <w:rFonts w:ascii="宋体;SimSun" w:hAnsi="宋体;SimSun" w:cs="宋体;SimSun"/>
          <w:szCs w:val="21"/>
        </w:rPr>
        <w:t>（3）安监服务：提供对所有车辆运行的安全监管功能，如车辆实时位置、超速报警、报表等，具体功能见“车辆安全运营监管系统功能列表”。</w:t>
      </w:r>
    </w:p>
    <w:p>
      <w:pPr>
        <w:snapToGrid w:val="0"/>
        <w:spacing w:line="360" w:lineRule="exact"/>
      </w:pPr>
      <w:r>
        <w:rPr>
          <w:rFonts w:ascii="宋体;SimSun" w:hAnsi="宋体;SimSun" w:cs="宋体;SimSun"/>
          <w:b/>
          <w:szCs w:val="21"/>
        </w:rPr>
        <w:t>1.3数据存储</w:t>
      </w:r>
    </w:p>
    <w:p>
      <w:pPr>
        <w:snapToGrid w:val="0"/>
        <w:spacing w:line="360" w:lineRule="exact"/>
        <w:ind w:firstLine="420"/>
        <w:rPr>
          <w:rFonts w:hint="eastAsia" w:ascii="宋体;SimSun" w:hAnsi="宋体;SimSun" w:cs="宋体;SimSun"/>
          <w:szCs w:val="21"/>
        </w:rPr>
      </w:pPr>
      <w:r>
        <w:rPr>
          <w:rFonts w:ascii="宋体;SimSun" w:hAnsi="宋体;SimSun" w:cs="宋体;SimSun"/>
          <w:szCs w:val="21"/>
        </w:rPr>
        <w:t>提供最近六个月服务涉及的车辆历史数据的存储。</w:t>
      </w:r>
    </w:p>
    <w:p>
      <w:pPr>
        <w:snapToGrid w:val="0"/>
        <w:spacing w:line="360" w:lineRule="exact"/>
      </w:pPr>
      <w:r>
        <w:rPr>
          <w:rFonts w:ascii="宋体;SimSun" w:hAnsi="宋体;SimSun" w:cs="宋体;SimSun"/>
          <w:b/>
          <w:szCs w:val="21"/>
        </w:rPr>
        <w:t>1.4通信服务</w:t>
      </w:r>
    </w:p>
    <w:p>
      <w:pPr>
        <w:snapToGrid w:val="0"/>
        <w:spacing w:line="360" w:lineRule="exact"/>
        <w:ind w:firstLine="664"/>
        <w:rPr>
          <w:rFonts w:hint="eastAsia" w:ascii="宋体;SimSun" w:hAnsi="宋体;SimSun" w:cs="宋体;SimSun"/>
          <w:szCs w:val="21"/>
        </w:rPr>
      </w:pPr>
      <w:r>
        <w:rPr>
          <w:rFonts w:ascii="宋体;SimSun" w:hAnsi="宋体;SimSun" w:cs="宋体;SimSun"/>
          <w:szCs w:val="21"/>
        </w:rPr>
        <w:t>提供车辆定位设备与服务器通信时的所有数据通信服务费用。</w:t>
      </w:r>
    </w:p>
    <w:p>
      <w:pPr>
        <w:snapToGrid w:val="0"/>
        <w:spacing w:line="360" w:lineRule="exact"/>
      </w:pPr>
      <w:r>
        <w:rPr>
          <w:rFonts w:ascii="宋体;SimSun" w:hAnsi="宋体;SimSun" w:cs="宋体;SimSun"/>
          <w:b/>
          <w:szCs w:val="21"/>
        </w:rPr>
        <w:t>1.5安装服务</w:t>
      </w:r>
    </w:p>
    <w:p>
      <w:pPr>
        <w:snapToGrid w:val="0"/>
        <w:spacing w:line="360" w:lineRule="exact"/>
        <w:ind w:firstLine="640"/>
        <w:rPr>
          <w:rFonts w:hint="eastAsia" w:ascii="宋体;SimSun" w:hAnsi="宋体;SimSun" w:cs="宋体;SimSun"/>
          <w:szCs w:val="21"/>
        </w:rPr>
      </w:pPr>
      <w:r>
        <w:rPr>
          <w:rFonts w:ascii="宋体;SimSun" w:hAnsi="宋体;SimSun" w:cs="宋体;SimSun"/>
          <w:szCs w:val="21"/>
        </w:rPr>
        <w:t>由投标人到招标人现场进行设备的车辆安装。</w:t>
      </w:r>
    </w:p>
    <w:p>
      <w:pPr>
        <w:snapToGrid w:val="0"/>
        <w:spacing w:line="360" w:lineRule="exact"/>
      </w:pPr>
      <w:r>
        <w:rPr>
          <w:rFonts w:ascii="宋体;SimSun" w:hAnsi="宋体;SimSun" w:cs="宋体;SimSun"/>
          <w:b/>
          <w:szCs w:val="21"/>
        </w:rPr>
        <w:t>1.6售后服务</w:t>
      </w:r>
    </w:p>
    <w:p>
      <w:pPr>
        <w:snapToGrid w:val="0"/>
        <w:spacing w:line="360" w:lineRule="exact"/>
        <w:ind w:firstLine="420"/>
        <w:rPr>
          <w:rFonts w:hint="eastAsia" w:ascii="宋体;SimSun" w:hAnsi="宋体;SimSun" w:cs="宋体;SimSun"/>
          <w:szCs w:val="21"/>
        </w:rPr>
      </w:pPr>
      <w:r>
        <w:rPr>
          <w:rFonts w:ascii="宋体;SimSun" w:hAnsi="宋体;SimSun" w:cs="宋体;SimSun"/>
          <w:szCs w:val="21"/>
        </w:rPr>
        <w:t>售后服务包括如下内容：</w:t>
      </w:r>
    </w:p>
    <w:p>
      <w:pPr>
        <w:snapToGrid w:val="0"/>
        <w:spacing w:line="360" w:lineRule="exact"/>
      </w:pPr>
      <w:r>
        <w:rPr>
          <w:rFonts w:ascii="宋体;SimSun" w:hAnsi="宋体;SimSun" w:cs="宋体;SimSun"/>
          <w:b/>
          <w:szCs w:val="21"/>
        </w:rPr>
        <w:t>1.6.1定位设备的服务：</w:t>
      </w:r>
    </w:p>
    <w:p>
      <w:pPr>
        <w:snapToGrid w:val="0"/>
        <w:spacing w:line="360" w:lineRule="exact"/>
        <w:ind w:firstLine="420"/>
      </w:pPr>
      <w:r>
        <w:rPr>
          <w:rFonts w:ascii="宋体;SimSun" w:hAnsi="宋体;SimSun" w:cs="宋体;SimSun"/>
          <w:szCs w:val="21"/>
        </w:rPr>
        <w:t>（1）对租赁期内硬件免费保修（人为损坏除外）；</w:t>
      </w:r>
    </w:p>
    <w:p>
      <w:pPr>
        <w:snapToGrid w:val="0"/>
        <w:spacing w:line="360" w:lineRule="exact"/>
        <w:ind w:firstLine="420"/>
      </w:pPr>
      <w:r>
        <w:rPr>
          <w:rFonts w:ascii="宋体;SimSun" w:hAnsi="宋体;SimSun" w:cs="宋体;SimSun"/>
          <w:szCs w:val="21"/>
        </w:rPr>
        <w:t>（2）提供1台备用设备，确保及时更换；</w:t>
      </w:r>
    </w:p>
    <w:p>
      <w:pPr>
        <w:snapToGrid w:val="0"/>
        <w:spacing w:line="360" w:lineRule="exact"/>
        <w:ind w:firstLine="420"/>
      </w:pPr>
      <w:r>
        <w:rPr>
          <w:rFonts w:ascii="宋体;SimSun" w:hAnsi="宋体;SimSun" w:cs="宋体;SimSun"/>
          <w:szCs w:val="21"/>
        </w:rPr>
        <w:t>（3）更换后的故障设备由</w:t>
      </w:r>
      <w:r>
        <w:rPr>
          <w:rFonts w:hint="eastAsia" w:ascii="宋体;SimSun" w:hAnsi="宋体;SimSun" w:cs="宋体;SimSun"/>
          <w:szCs w:val="21"/>
        </w:rPr>
        <w:t>招标人</w:t>
      </w:r>
      <w:r>
        <w:rPr>
          <w:rFonts w:ascii="宋体;SimSun" w:hAnsi="宋体;SimSun" w:cs="宋体;SimSun"/>
          <w:szCs w:val="21"/>
        </w:rPr>
        <w:t>发给</w:t>
      </w:r>
      <w:r>
        <w:rPr>
          <w:rFonts w:hint="eastAsia" w:ascii="宋体;SimSun" w:hAnsi="宋体;SimSun" w:cs="宋体;SimSun"/>
          <w:szCs w:val="21"/>
        </w:rPr>
        <w:t>投标人</w:t>
      </w:r>
      <w:r>
        <w:rPr>
          <w:rFonts w:ascii="宋体;SimSun" w:hAnsi="宋体;SimSun" w:cs="宋体;SimSun"/>
          <w:szCs w:val="21"/>
        </w:rPr>
        <w:t>，</w:t>
      </w:r>
      <w:r>
        <w:rPr>
          <w:rFonts w:hint="eastAsia" w:ascii="宋体;SimSun" w:hAnsi="宋体;SimSun" w:cs="宋体;SimSun"/>
          <w:szCs w:val="21"/>
        </w:rPr>
        <w:t>投标人</w:t>
      </w:r>
      <w:r>
        <w:rPr>
          <w:rFonts w:ascii="宋体;SimSun" w:hAnsi="宋体;SimSun" w:cs="宋体;SimSun"/>
          <w:szCs w:val="21"/>
        </w:rPr>
        <w:t>修复后发回</w:t>
      </w:r>
      <w:r>
        <w:rPr>
          <w:rFonts w:hint="eastAsia" w:ascii="宋体;SimSun" w:hAnsi="宋体;SimSun" w:cs="宋体;SimSun"/>
          <w:szCs w:val="21"/>
        </w:rPr>
        <w:t>招标人</w:t>
      </w:r>
      <w:r>
        <w:rPr>
          <w:rFonts w:ascii="宋体;SimSun" w:hAnsi="宋体;SimSun" w:cs="宋体;SimSun"/>
          <w:szCs w:val="21"/>
        </w:rPr>
        <w:t>。邮寄费用由各自承担；</w:t>
      </w:r>
    </w:p>
    <w:p>
      <w:pPr>
        <w:snapToGrid w:val="0"/>
        <w:spacing w:line="360" w:lineRule="exact"/>
        <w:ind w:firstLine="420"/>
      </w:pPr>
      <w:r>
        <w:rPr>
          <w:rFonts w:ascii="宋体;SimSun" w:hAnsi="宋体;SimSun" w:cs="宋体;SimSun"/>
          <w:szCs w:val="21"/>
        </w:rPr>
        <w:t>（4）如故障设备属于</w:t>
      </w:r>
      <w:r>
        <w:rPr>
          <w:rFonts w:hint="eastAsia" w:ascii="宋体;SimSun" w:hAnsi="宋体;SimSun" w:cs="宋体;SimSun"/>
          <w:szCs w:val="21"/>
        </w:rPr>
        <w:t>招标人</w:t>
      </w:r>
      <w:r>
        <w:rPr>
          <w:rFonts w:ascii="宋体;SimSun" w:hAnsi="宋体;SimSun" w:cs="宋体;SimSun"/>
          <w:szCs w:val="21"/>
        </w:rPr>
        <w:t>人为损坏，则需由</w:t>
      </w:r>
      <w:r>
        <w:rPr>
          <w:rFonts w:hint="eastAsia" w:ascii="宋体;SimSun" w:hAnsi="宋体;SimSun" w:cs="宋体;SimSun"/>
          <w:szCs w:val="21"/>
        </w:rPr>
        <w:t>招标人</w:t>
      </w:r>
      <w:r>
        <w:rPr>
          <w:rFonts w:ascii="宋体;SimSun" w:hAnsi="宋体;SimSun" w:cs="宋体;SimSun"/>
          <w:szCs w:val="21"/>
        </w:rPr>
        <w:t>支付维修费用。</w:t>
      </w:r>
    </w:p>
    <w:p>
      <w:pPr>
        <w:snapToGrid w:val="0"/>
        <w:spacing w:line="360" w:lineRule="exact"/>
      </w:pPr>
      <w:r>
        <w:rPr>
          <w:rFonts w:ascii="宋体;SimSun" w:hAnsi="宋体;SimSun" w:cs="宋体;SimSun"/>
          <w:b/>
          <w:szCs w:val="21"/>
        </w:rPr>
        <w:t>1.6.2系统服务</w:t>
      </w:r>
    </w:p>
    <w:p>
      <w:pPr>
        <w:snapToGrid w:val="0"/>
        <w:spacing w:line="360" w:lineRule="exact"/>
        <w:ind w:firstLine="420"/>
      </w:pPr>
      <w:r>
        <w:rPr>
          <w:rFonts w:ascii="宋体;SimSun" w:hAnsi="宋体;SimSun" w:cs="宋体;SimSun"/>
          <w:szCs w:val="21"/>
        </w:rPr>
        <w:t>（1）提供系统使用支持服务，包括账户管理、设备信息维护等；</w:t>
      </w:r>
    </w:p>
    <w:p>
      <w:pPr>
        <w:snapToGrid w:val="0"/>
        <w:spacing w:line="360" w:lineRule="exact"/>
        <w:ind w:firstLine="420"/>
      </w:pPr>
      <w:r>
        <w:rPr>
          <w:rFonts w:ascii="宋体;SimSun" w:hAnsi="宋体;SimSun" w:cs="宋体;SimSun"/>
          <w:szCs w:val="21"/>
        </w:rPr>
        <w:t>（2）提供对使用设备的远程监控、诊断服务；</w:t>
      </w:r>
    </w:p>
    <w:p>
      <w:pPr>
        <w:snapToGrid w:val="0"/>
        <w:spacing w:line="360" w:lineRule="exact"/>
        <w:ind w:firstLine="420"/>
      </w:pPr>
      <w:r>
        <w:rPr>
          <w:rFonts w:ascii="宋体;SimSun" w:hAnsi="宋体;SimSun" w:cs="宋体;SimSun"/>
          <w:szCs w:val="21"/>
        </w:rPr>
        <w:t>（3）提供招标人的数据的导出、备份服务。</w:t>
      </w:r>
      <w:r>
        <w:br w:type="page"/>
      </w:r>
    </w:p>
    <w:p>
      <w:pPr>
        <w:widowControl/>
        <w:jc w:val="left"/>
        <w:rPr>
          <w:rFonts w:hint="eastAsia" w:ascii="宋体;SimSun" w:hAnsi="宋体;SimSun" w:cs="Calibri"/>
          <w:b/>
          <w:bCs/>
          <w:kern w:val="0"/>
          <w:sz w:val="22"/>
        </w:rPr>
      </w:pPr>
      <w:r>
        <w:rPr>
          <w:rFonts w:ascii="宋体;SimSun" w:hAnsi="宋体;SimSun" w:cs="Calibri"/>
          <w:b/>
          <w:bCs/>
          <w:kern w:val="0"/>
          <w:sz w:val="22"/>
        </w:rPr>
        <w:t>三、车辆安全运营监管功能列表</w:t>
      </w:r>
    </w:p>
    <w:tbl>
      <w:tblPr>
        <w:tblStyle w:val="53"/>
        <w:tblW w:w="9329" w:type="dxa"/>
        <w:jc w:val="center"/>
        <w:tblInd w:w="0" w:type="dxa"/>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
      <w:tblGrid>
        <w:gridCol w:w="775"/>
        <w:gridCol w:w="733"/>
        <w:gridCol w:w="2886"/>
        <w:gridCol w:w="4935"/>
      </w:tblGrid>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593" w:hRule="atLeast"/>
          <w:jc w:val="center"/>
        </w:trPr>
        <w:tc>
          <w:tcPr>
            <w:tcW w:w="775" w:type="dxa"/>
            <w:tcBorders>
              <w:top w:val="single" w:color="000000" w:sz="4" w:space="0"/>
              <w:left w:val="single" w:color="000000" w:sz="4" w:space="0"/>
              <w:bottom w:val="single" w:color="000000" w:sz="4" w:space="0"/>
            </w:tcBorders>
            <w:shd w:val="clear" w:color="auto" w:fill="8DB3E2"/>
            <w:vAlign w:val="center"/>
          </w:tcPr>
          <w:p>
            <w:pPr>
              <w:tabs>
                <w:tab w:val="left" w:pos="420"/>
                <w:tab w:val="center" w:pos="1060"/>
              </w:tabs>
              <w:spacing w:line="460" w:lineRule="exact"/>
              <w:jc w:val="center"/>
              <w:rPr>
                <w:rFonts w:hint="eastAsia" w:ascii="宋体;SimSun" w:hAnsi="宋体;SimSun" w:cs="宋体;SimSun"/>
                <w:b/>
                <w:spacing w:val="6"/>
                <w:szCs w:val="21"/>
              </w:rPr>
            </w:pPr>
            <w:r>
              <w:rPr>
                <w:rFonts w:ascii="宋体;SimSun" w:hAnsi="宋体;SimSun" w:cs="宋体;SimSun"/>
                <w:b/>
                <w:spacing w:val="6"/>
                <w:szCs w:val="21"/>
              </w:rPr>
              <w:t>功能</w:t>
            </w:r>
          </w:p>
        </w:tc>
        <w:tc>
          <w:tcPr>
            <w:tcW w:w="733" w:type="dxa"/>
            <w:tcBorders>
              <w:top w:val="single" w:color="000000" w:sz="4" w:space="0"/>
              <w:left w:val="single" w:color="000000" w:sz="4" w:space="0"/>
              <w:bottom w:val="single" w:color="000000" w:sz="4" w:space="0"/>
            </w:tcBorders>
            <w:shd w:val="clear" w:color="auto" w:fill="8DB3E2"/>
            <w:vAlign w:val="center"/>
          </w:tcPr>
          <w:p>
            <w:pPr>
              <w:spacing w:line="460" w:lineRule="exact"/>
              <w:jc w:val="center"/>
              <w:rPr>
                <w:rFonts w:hint="eastAsia" w:ascii="宋体;SimSun" w:hAnsi="宋体;SimSun" w:cs="宋体;SimSun"/>
                <w:b/>
                <w:spacing w:val="6"/>
                <w:szCs w:val="21"/>
              </w:rPr>
            </w:pPr>
            <w:r>
              <w:rPr>
                <w:rFonts w:ascii="宋体;SimSun" w:hAnsi="宋体;SimSun" w:cs="宋体;SimSun"/>
                <w:b/>
                <w:spacing w:val="6"/>
                <w:szCs w:val="21"/>
              </w:rPr>
              <w:t>功能编号</w:t>
            </w:r>
          </w:p>
        </w:tc>
        <w:tc>
          <w:tcPr>
            <w:tcW w:w="2886" w:type="dxa"/>
            <w:tcBorders>
              <w:top w:val="single" w:color="000000" w:sz="4" w:space="0"/>
              <w:left w:val="single" w:color="000000" w:sz="4" w:space="0"/>
              <w:bottom w:val="single" w:color="000000" w:sz="4" w:space="0"/>
            </w:tcBorders>
            <w:shd w:val="clear" w:color="auto" w:fill="8DB3E2"/>
            <w:vAlign w:val="center"/>
          </w:tcPr>
          <w:p>
            <w:pPr>
              <w:spacing w:line="460" w:lineRule="exact"/>
              <w:jc w:val="center"/>
              <w:rPr>
                <w:rFonts w:hint="eastAsia" w:ascii="宋体;SimSun" w:hAnsi="宋体;SimSun" w:cs="宋体;SimSun"/>
                <w:b/>
                <w:spacing w:val="6"/>
                <w:szCs w:val="21"/>
              </w:rPr>
            </w:pPr>
            <w:r>
              <w:rPr>
                <w:rFonts w:ascii="宋体;SimSun" w:hAnsi="宋体;SimSun" w:cs="宋体;SimSun"/>
                <w:b/>
                <w:spacing w:val="6"/>
                <w:szCs w:val="21"/>
              </w:rPr>
              <w:t>功能描述</w:t>
            </w:r>
          </w:p>
        </w:tc>
        <w:tc>
          <w:tcPr>
            <w:tcW w:w="4935" w:type="dxa"/>
            <w:tcBorders>
              <w:top w:val="single" w:color="000000" w:sz="4" w:space="0"/>
              <w:left w:val="single" w:color="000000" w:sz="4" w:space="0"/>
              <w:bottom w:val="single" w:color="000000" w:sz="4" w:space="0"/>
              <w:right w:val="single" w:color="000000" w:sz="4" w:space="0"/>
            </w:tcBorders>
            <w:shd w:val="clear" w:color="auto" w:fill="8DB3E2"/>
            <w:vAlign w:val="center"/>
          </w:tcPr>
          <w:p>
            <w:pPr>
              <w:spacing w:line="460" w:lineRule="exact"/>
              <w:jc w:val="center"/>
              <w:rPr>
                <w:rFonts w:hint="eastAsia" w:ascii="宋体;SimSun" w:hAnsi="宋体;SimSun" w:cs="宋体;SimSun"/>
                <w:b/>
                <w:spacing w:val="6"/>
                <w:szCs w:val="21"/>
              </w:rPr>
            </w:pPr>
            <w:r>
              <w:rPr>
                <w:rFonts w:ascii="宋体;SimSun" w:hAnsi="宋体;SimSun" w:cs="宋体;SimSun"/>
                <w:b/>
                <w:spacing w:val="6"/>
                <w:szCs w:val="21"/>
              </w:rPr>
              <w:t>备注</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935" w:hRule="atLeast"/>
          <w:jc w:val="center"/>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pPr>
            <w:r>
              <w:rPr>
                <w:rFonts w:ascii="宋体;SimSun" w:hAnsi="宋体;SimSun" w:cs="宋体;SimSun"/>
                <w:spacing w:val="6"/>
                <w:sz w:val="18"/>
                <w:szCs w:val="18"/>
              </w:rPr>
              <w:t>1、电子地图功能</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1.1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提供栅格电子地图、卫星影像地图浏览以及图层叠加服务</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rPr>
                <w:rFonts w:hint="eastAsia" w:ascii="宋体;SimSun" w:hAnsi="宋体;SimSun" w:cs="宋体;SimSun"/>
                <w:sz w:val="18"/>
                <w:szCs w:val="18"/>
              </w:rPr>
            </w:pPr>
            <w:r>
              <w:rPr>
                <w:rFonts w:ascii="宋体;SimSun" w:hAnsi="宋体;SimSun" w:cs="宋体;SimSun"/>
                <w:sz w:val="18"/>
                <w:szCs w:val="18"/>
              </w:rPr>
              <w:t>1.2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提供任意角度的地图旋转功能</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适应机场实际情况和使用者的使用习惯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1.3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提供地图缩放、测距、测面等功能</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其中地图缩放功能要求，在指定的地图层级上显示或关闭用户自定义的地图信息点信息，以减少对地图信息点对车辆展示的干扰</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1.4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地图标注</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pPr>
            <w:r>
              <w:rPr>
                <w:rFonts w:ascii="宋体;SimSun" w:hAnsi="宋体;SimSun" w:cs="宋体;SimSun"/>
                <w:spacing w:val="6"/>
                <w:sz w:val="18"/>
                <w:szCs w:val="18"/>
              </w:rPr>
              <w:t>使用者可自行在地图上进行点、线以及文字的标注，以满足新增信息点在地图上展示的需求</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1.5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机位标注</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根据机场机位分布情况，实现对机位的标注</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jc w:val="center"/>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pPr>
            <w:r>
              <w:rPr>
                <w:rFonts w:ascii="宋体;SimSun" w:hAnsi="宋体;SimSun" w:cs="宋体;SimSun"/>
                <w:spacing w:val="6"/>
                <w:sz w:val="18"/>
                <w:szCs w:val="18"/>
              </w:rPr>
              <w:t>2、监控功能</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2.1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用户侧对平台访问网络状态监控</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需以明显的标识提示用户</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90"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2.2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对账户全部车辆的展示</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2.3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车辆实时信息的展示</w:t>
            </w:r>
          </w:p>
        </w:tc>
        <w:tc>
          <w:tcPr>
            <w:tcW w:w="4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位置变化要即时在地图上展示，不接受定时刷新方式</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trike/>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2.4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车辆实时位置展示</w:t>
            </w:r>
          </w:p>
        </w:tc>
        <w:tc>
          <w:tcPr>
            <w:tcW w:w="4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2.5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车辆实时状态展示</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pPr>
            <w:r>
              <w:rPr>
                <w:rFonts w:ascii="宋体;SimSun" w:hAnsi="宋体;SimSun" w:cs="宋体;SimSun"/>
                <w:spacing w:val="6"/>
                <w:sz w:val="18"/>
                <w:szCs w:val="18"/>
              </w:rPr>
              <w:t>包括点火状态、工作等多种状态</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2.6</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车辆位置查看</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pPr>
            <w:r>
              <w:rPr>
                <w:rFonts w:ascii="宋体;SimSun" w:hAnsi="宋体;SimSun" w:cs="宋体;SimSun"/>
                <w:spacing w:val="6"/>
                <w:sz w:val="18"/>
                <w:szCs w:val="18"/>
              </w:rPr>
              <w:t>用户可通过鼠标点击或扫描车辆列表即可随动即时展示车辆的位置信息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2.7</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车辆列表和基础信息的实时更新</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2.8</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可对指定的展示区域进行查看</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2.9</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可对指定分类车辆进行查看</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2.10</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车辆报警信息的展示和定位</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包括所有的报警处理、车辆的出界等</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2.11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刷卡后车辆状态展示和相应的语音提示</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刷卡标识为登签成功，再次刷卡标识为退出登签</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72" w:hRule="atLeast"/>
          <w:jc w:val="center"/>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pPr>
            <w:r>
              <w:rPr>
                <w:rFonts w:ascii="宋体;SimSun" w:hAnsi="宋体;SimSun" w:cs="宋体;SimSun"/>
                <w:spacing w:val="6"/>
                <w:sz w:val="18"/>
                <w:szCs w:val="18"/>
              </w:rPr>
              <w:t>3、指令下发</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3.1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文字信息</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通过文字播报器播出</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3.2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超速阈值</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3.3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停车超时阈值</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3.4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电子围栏规则</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需支持一次性下发所有围栏规则信息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3.5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播报器音量调节</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可根据实际情况增加或减少文字播报器的音量和语速</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3.6</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设备复位</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3.7</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升级指令</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实现对设备的远程升级</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3.8</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里程初始化</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可对车辆里程进行初始化设置，便于车辆运行里程</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jc w:val="center"/>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pPr>
            <w:r>
              <w:rPr>
                <w:rFonts w:ascii="宋体;SimSun" w:hAnsi="宋体;SimSun" w:cs="宋体;SimSun"/>
                <w:sz w:val="18"/>
                <w:szCs w:val="18"/>
              </w:rPr>
              <w:t>4、报警功能</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4.1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超速</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要求对首次超速时仅在车辆侧进行报警提示，如再次持续超速则同时上报平台</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4.2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超时停车</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要求对首次超时停车时仅在车辆侧进行报警提示，如再次持续超速则同时上报平台</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4.3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电子围栏</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见围栏功能说明</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4.4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疲劳驾驶</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jc w:val="center"/>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pPr>
            <w:r>
              <w:rPr>
                <w:rFonts w:ascii="宋体;SimSun" w:hAnsi="宋体;SimSun" w:cs="宋体;SimSun"/>
                <w:spacing w:val="6"/>
                <w:sz w:val="18"/>
                <w:szCs w:val="18"/>
              </w:rPr>
              <w:t>5、围栏功能</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5.1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进入围栏报警</w:t>
            </w:r>
          </w:p>
        </w:tc>
        <w:tc>
          <w:tcPr>
            <w:tcW w:w="4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pPr>
            <w:r>
              <w:rPr>
                <w:rFonts w:ascii="宋体;SimSun" w:hAnsi="宋体;SimSun" w:cs="宋体;SimSun"/>
                <w:spacing w:val="6"/>
                <w:sz w:val="18"/>
                <w:szCs w:val="18"/>
              </w:rPr>
              <w:t>可实现对进入/离开围栏信息的提示，包括XXX围栏或区域。提示需要通过文字播报方式在车辆端进行。此类报警需要记录在平台中。</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5.2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pPr>
            <w:r>
              <w:rPr>
                <w:rFonts w:ascii="宋体;SimSun" w:hAnsi="宋体;SimSun" w:cs="宋体;SimSun"/>
                <w:sz w:val="18"/>
                <w:szCs w:val="18"/>
              </w:rPr>
              <w:t>离开</w:t>
            </w:r>
            <w:r>
              <w:rPr>
                <w:rFonts w:ascii="宋体;SimSun" w:hAnsi="宋体;SimSun" w:cs="宋体;SimSun"/>
                <w:spacing w:val="6"/>
                <w:sz w:val="18"/>
                <w:szCs w:val="18"/>
              </w:rPr>
              <w:t>围栏</w:t>
            </w:r>
            <w:r>
              <w:rPr>
                <w:rFonts w:ascii="宋体;SimSun" w:hAnsi="宋体;SimSun" w:cs="宋体;SimSun"/>
                <w:sz w:val="18"/>
                <w:szCs w:val="18"/>
              </w:rPr>
              <w:t>报警</w:t>
            </w:r>
          </w:p>
        </w:tc>
        <w:tc>
          <w:tcPr>
            <w:tcW w:w="4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5.3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pPr>
            <w:r>
              <w:rPr>
                <w:rFonts w:ascii="宋体;SimSun" w:hAnsi="宋体;SimSun" w:cs="宋体;SimSun"/>
                <w:sz w:val="18"/>
                <w:szCs w:val="18"/>
              </w:rPr>
              <w:t>进出</w:t>
            </w:r>
            <w:r>
              <w:rPr>
                <w:rFonts w:ascii="宋体;SimSun" w:hAnsi="宋体;SimSun" w:cs="宋体;SimSun"/>
                <w:spacing w:val="6"/>
                <w:sz w:val="18"/>
                <w:szCs w:val="18"/>
              </w:rPr>
              <w:t>围栏</w:t>
            </w:r>
            <w:r>
              <w:rPr>
                <w:rFonts w:ascii="宋体;SimSun" w:hAnsi="宋体;SimSun" w:cs="宋体;SimSun"/>
                <w:sz w:val="18"/>
                <w:szCs w:val="18"/>
              </w:rPr>
              <w:t>皆报警</w:t>
            </w:r>
          </w:p>
        </w:tc>
        <w:tc>
          <w:tcPr>
            <w:tcW w:w="4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5.4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围栏内限速</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可指定围栏区域内的限速值，即进入围栏时对进入后的限速进行监控</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5.5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pPr>
            <w:r>
              <w:rPr>
                <w:rFonts w:ascii="宋体;SimSun" w:hAnsi="宋体;SimSun" w:cs="宋体;SimSun"/>
                <w:sz w:val="18"/>
                <w:szCs w:val="18"/>
              </w:rPr>
              <w:t>STOP线提示</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pPr>
            <w:r>
              <w:rPr>
                <w:rFonts w:ascii="宋体;SimSun" w:hAnsi="宋体;SimSun" w:cs="宋体;SimSun"/>
                <w:spacing w:val="6"/>
                <w:sz w:val="18"/>
                <w:szCs w:val="18"/>
              </w:rPr>
              <w:t>可对机场场内的STOP线进行车辆侧的语音提示</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612" w:hRule="atLeast"/>
          <w:jc w:val="center"/>
        </w:trPr>
        <w:tc>
          <w:tcPr>
            <w:tcW w:w="775" w:type="dxa"/>
            <w:tcBorders>
              <w:top w:val="single" w:color="000000" w:sz="4" w:space="0"/>
              <w:left w:val="single" w:color="000000" w:sz="4" w:space="0"/>
              <w:bottom w:val="single" w:color="000000" w:sz="4" w:space="0"/>
            </w:tcBorders>
            <w:shd w:val="clear" w:color="auto" w:fill="auto"/>
            <w:vAlign w:val="center"/>
          </w:tcPr>
          <w:p>
            <w:pPr>
              <w:snapToGrid w:val="0"/>
              <w:jc w:val="center"/>
            </w:pPr>
            <w:r>
              <w:rPr>
                <w:rFonts w:ascii="宋体;SimSun" w:hAnsi="宋体;SimSun" w:cs="宋体;SimSun"/>
                <w:sz w:val="18"/>
                <w:szCs w:val="18"/>
              </w:rPr>
              <w:t>6、刷卡登签功能</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6</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pPr>
            <w:r>
              <w:rPr>
                <w:rFonts w:ascii="宋体;SimSun" w:hAnsi="宋体;SimSun" w:cs="宋体;SimSun"/>
                <w:sz w:val="18"/>
                <w:szCs w:val="18"/>
              </w:rPr>
              <w:t>驾驶人可使用HID卡，在设备启动后进行登签操作，以表示当前驾驶人信息</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相关功能包括监控功能、驾驶人管理、统计查询功能等</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612" w:hRule="atLeast"/>
          <w:jc w:val="center"/>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pPr>
            <w:r>
              <w:rPr>
                <w:rFonts w:ascii="宋体;SimSun" w:hAnsi="宋体;SimSun" w:cs="宋体;SimSun"/>
                <w:spacing w:val="6"/>
                <w:sz w:val="18"/>
                <w:szCs w:val="18"/>
              </w:rPr>
              <w:t>7、统计查询</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7.1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pPr>
            <w:r>
              <w:rPr>
                <w:rFonts w:ascii="宋体;SimSun" w:hAnsi="宋体;SimSun" w:cs="宋体;SimSun"/>
                <w:spacing w:val="6"/>
                <w:sz w:val="18"/>
                <w:szCs w:val="18"/>
              </w:rPr>
              <w:t>轨迹回放（可以分时、分段进行）</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实现对指定车辆的历史轨迹回放。在有检测到刷卡时数据时，需要提醒刷卡人信息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7.2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历史报警</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查询设备的报警信息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7.3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调度短信</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查询设备的调度信息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7.4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调度指令</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查询设备的调度指令</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7.5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速度曲线</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查询设备的速度曲线</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7.6</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设备信息</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查询账户下设备信息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7.7</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离线信息</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查询账户下的设备离线信息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7.8</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运行统计</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查询账户下的设备运行统计信息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7.9</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区域查车</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pPr>
            <w:r>
              <w:rPr>
                <w:rFonts w:ascii="宋体;SimSun" w:hAnsi="宋体;SimSun" w:cs="宋体;SimSun"/>
                <w:sz w:val="18"/>
                <w:szCs w:val="18"/>
              </w:rPr>
              <w:t>可在地图上任意指定的区域内，在任意指定的时间内查询途径此区域的车辆进入信息。</w:t>
            </w:r>
            <w:r>
              <w:rPr>
                <w:rFonts w:ascii="宋体;SimSun" w:hAnsi="宋体;SimSun" w:cs="宋体;SimSun"/>
                <w:spacing w:val="6"/>
                <w:sz w:val="18"/>
                <w:szCs w:val="18"/>
              </w:rPr>
              <w:t>在有检测到刷卡时数据时，需要提醒刷卡人信息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 w:val="18"/>
                <w:szCs w:val="18"/>
              </w:rPr>
            </w:pPr>
            <w:r>
              <w:rPr>
                <w:rFonts w:ascii="宋体;SimSun" w:hAnsi="宋体;SimSun" w:cs="宋体;SimSun"/>
                <w:sz w:val="18"/>
                <w:szCs w:val="18"/>
              </w:rPr>
              <w:t>7.10</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运行时序图</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 w:val="18"/>
                <w:szCs w:val="18"/>
              </w:rPr>
            </w:pPr>
            <w:r>
              <w:rPr>
                <w:rFonts w:ascii="宋体;SimSun" w:hAnsi="宋体;SimSun" w:cs="宋体;SimSun"/>
                <w:sz w:val="18"/>
                <w:szCs w:val="18"/>
              </w:rPr>
              <w:t>可对车辆进行指定时间段内的运行时序查询（条形图），同时给出超出指定停车时间的信息筛选</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50" w:hRule="atLeast"/>
          <w:jc w:val="center"/>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pPr>
            <w:r>
              <w:rPr>
                <w:rFonts w:ascii="宋体;SimSun" w:hAnsi="宋体;SimSun" w:cs="宋体;SimSun"/>
                <w:spacing w:val="6"/>
                <w:sz w:val="18"/>
                <w:szCs w:val="18"/>
              </w:rPr>
              <w:t>8、常用设置</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8.1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编辑分类</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可对车辆进行自定义分类</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17"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8.2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展示区域</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可在地图上标画展示区域</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8.3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安监区域</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可在地图上标画安监区域，即电子围栏，区域限速等</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72"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8.4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密码修改</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15" w:hRule="atLeast"/>
          <w:jc w:val="center"/>
        </w:trPr>
        <w:tc>
          <w:tcPr>
            <w:tcW w:w="775" w:type="dxa"/>
            <w:tcBorders>
              <w:top w:val="single" w:color="000000" w:sz="4" w:space="0"/>
              <w:left w:val="single" w:color="000000" w:sz="4" w:space="0"/>
              <w:bottom w:val="single" w:color="000000" w:sz="4" w:space="0"/>
            </w:tcBorders>
            <w:shd w:val="clear" w:color="auto" w:fill="auto"/>
            <w:vAlign w:val="center"/>
          </w:tcPr>
          <w:p>
            <w:pPr>
              <w:snapToGrid w:val="0"/>
              <w:jc w:val="center"/>
            </w:pPr>
            <w:r>
              <w:rPr>
                <w:rFonts w:ascii="宋体;SimSun" w:hAnsi="宋体;SimSun" w:cs="宋体;SimSun"/>
                <w:spacing w:val="6"/>
                <w:sz w:val="18"/>
                <w:szCs w:val="18"/>
              </w:rPr>
              <w:t>9、驾驶人管理</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9</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pPr>
            <w:r>
              <w:rPr>
                <w:rFonts w:ascii="宋体;SimSun" w:hAnsi="宋体;SimSun" w:cs="宋体;SimSun"/>
                <w:spacing w:val="6"/>
                <w:sz w:val="18"/>
                <w:szCs w:val="18"/>
              </w:rPr>
              <w:t>维护驾驶人和HID卡身份的管理功能，包括增、删、改、查等基本功能</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511" w:hRule="atLeast"/>
          <w:jc w:val="center"/>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pPr>
            <w:r>
              <w:rPr>
                <w:rFonts w:ascii="宋体;SimSun" w:hAnsi="宋体;SimSun" w:cs="宋体;SimSun"/>
                <w:spacing w:val="6"/>
                <w:sz w:val="18"/>
                <w:szCs w:val="18"/>
              </w:rPr>
              <w:t>10、本地设置</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10.1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可设置热点聚合方式和聚合数</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当账户下车辆数目多时，如超过指定的聚合数时，平台需要自动进行热点聚合处理，即根据车辆的分布进行自动聚合。用户可以选择聚合后的区域查看该区域下的车辆</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00"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10.2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可设置是否显示标签</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可以显示或不显示车辆基础标签</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546"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10.3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可设置显示标签的详细程度</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50"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10.4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可设置报警声音播放开关</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50" w:hRule="atLeast"/>
          <w:jc w:val="center"/>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pacing w:val="6"/>
                <w:sz w:val="18"/>
                <w:szCs w:val="18"/>
              </w:rPr>
            </w:pPr>
            <w:r>
              <w:rPr>
                <w:rFonts w:ascii="宋体;SimSun" w:hAnsi="宋体;SimSun" w:cs="宋体;SimSun"/>
                <w:spacing w:val="6"/>
                <w:sz w:val="18"/>
                <w:szCs w:val="18"/>
              </w:rPr>
              <w:t>10.5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需保存用户已经设置成功的配置信息</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pacing w:val="6"/>
                <w:sz w:val="18"/>
                <w:szCs w:val="18"/>
              </w:rPr>
            </w:pPr>
            <w:r>
              <w:rPr>
                <w:rFonts w:ascii="宋体;SimSun" w:hAnsi="宋体;SimSun" w:cs="宋体;SimSun"/>
                <w:spacing w:val="6"/>
                <w:sz w:val="18"/>
                <w:szCs w:val="18"/>
              </w:rPr>
              <w:t>包括地图旋转角度、电子地图类型，避免用户再次重复设置操作</w:t>
            </w:r>
          </w:p>
        </w:tc>
      </w:tr>
    </w:tbl>
    <w:p>
      <w:pPr>
        <w:snapToGrid w:val="0"/>
        <w:spacing w:line="560" w:lineRule="exact"/>
        <w:rPr>
          <w:rFonts w:hint="eastAsia" w:ascii="宋体;SimSun" w:hAnsi="宋体;SimSun" w:cs="Calibri"/>
          <w:b/>
          <w:bCs/>
          <w:kern w:val="0"/>
          <w:sz w:val="22"/>
        </w:rPr>
      </w:pPr>
      <w:r>
        <w:br w:type="page"/>
      </w:r>
      <w:r>
        <w:rPr>
          <w:rFonts w:ascii="宋体;SimSun" w:hAnsi="宋体;SimSun" w:cs="Calibri"/>
          <w:b/>
          <w:bCs/>
          <w:kern w:val="0"/>
          <w:sz w:val="22"/>
        </w:rPr>
        <w:t>四、硬件规格及技术指标</w:t>
      </w:r>
    </w:p>
    <w:p>
      <w:pPr>
        <w:snapToGrid w:val="0"/>
        <w:spacing w:line="360" w:lineRule="exact"/>
        <w:ind w:firstLine="422"/>
      </w:pPr>
      <w:r>
        <w:rPr>
          <w:rFonts w:ascii="宋体;SimSun" w:hAnsi="宋体;SimSun" w:cs="宋体;SimSun"/>
          <w:b/>
          <w:szCs w:val="21"/>
        </w:rPr>
        <w:t>1.定位设备</w:t>
      </w:r>
    </w:p>
    <w:p>
      <w:pPr>
        <w:snapToGrid w:val="0"/>
        <w:spacing w:line="360" w:lineRule="exact"/>
        <w:ind w:firstLine="420"/>
        <w:rPr>
          <w:rFonts w:hint="eastAsia" w:ascii="宋体;SimSun" w:hAnsi="宋体;SimSun" w:cs="宋体;SimSun"/>
          <w:szCs w:val="21"/>
        </w:rPr>
      </w:pPr>
      <w:r>
        <w:rPr>
          <w:rFonts w:ascii="宋体;SimSun" w:hAnsi="宋体;SimSun" w:cs="宋体;SimSun"/>
          <w:szCs w:val="21"/>
        </w:rPr>
        <w:t>智能车载卫星定位终端</w:t>
      </w:r>
    </w:p>
    <w:tbl>
      <w:tblPr>
        <w:tblStyle w:val="53"/>
        <w:tblW w:w="947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98" w:type="dxa"/>
          <w:bottom w:w="0" w:type="dxa"/>
          <w:right w:w="108" w:type="dxa"/>
        </w:tblCellMar>
      </w:tblPr>
      <w:tblGrid>
        <w:gridCol w:w="94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9470" w:type="dxa"/>
            <w:tcBorders>
              <w:top w:val="single" w:color="000000" w:sz="4" w:space="0"/>
              <w:left w:val="single" w:color="000000" w:sz="4" w:space="0"/>
              <w:bottom w:val="single" w:color="000000" w:sz="4" w:space="0"/>
              <w:right w:val="single" w:color="000000" w:sz="4" w:space="0"/>
            </w:tcBorders>
            <w:shd w:val="clear" w:color="auto" w:fill="auto"/>
          </w:tcPr>
          <w:p>
            <w:r>
              <w:rPr>
                <w:rFonts w:ascii="仿宋_GB2312;微软雅黑" w:hAnsi="仿宋_GB2312;微软雅黑" w:eastAsia="仿宋_GB2312;微软雅黑" w:cs="仿宋_GB2312;微软雅黑"/>
                <w:b/>
                <w:spacing w:val="6"/>
                <w:szCs w:val="21"/>
              </w:rPr>
              <w:t>1.1操作系统：</w:t>
            </w:r>
            <w:r>
              <w:rPr>
                <w:rFonts w:ascii="仿宋_GB2312;微软雅黑" w:hAnsi="仿宋_GB2312;微软雅黑" w:eastAsia="仿宋_GB2312;微软雅黑" w:cs="仿宋_GB2312;微软雅黑"/>
                <w:spacing w:val="6"/>
                <w:szCs w:val="21"/>
              </w:rPr>
              <w:t>嵌入式Linux系统</w:t>
            </w:r>
          </w:p>
          <w:p>
            <w:r>
              <w:rPr>
                <w:rFonts w:ascii="仿宋_GB2312;微软雅黑" w:hAnsi="仿宋_GB2312;微软雅黑" w:eastAsia="仿宋_GB2312;微软雅黑" w:cs="仿宋_GB2312;微软雅黑"/>
                <w:b/>
                <w:spacing w:val="6"/>
                <w:szCs w:val="21"/>
              </w:rPr>
              <w:t>1.2 CPU：</w:t>
            </w:r>
            <w:r>
              <w:rPr>
                <w:rFonts w:ascii="仿宋_GB2312;微软雅黑" w:hAnsi="仿宋_GB2312;微软雅黑" w:eastAsia="仿宋_GB2312;微软雅黑" w:cs="仿宋_GB2312;微软雅黑"/>
                <w:spacing w:val="6"/>
                <w:szCs w:val="21"/>
              </w:rPr>
              <w:t>ARM7</w:t>
            </w:r>
            <w:r>
              <w:rPr>
                <w:rFonts w:ascii="仿宋_GB2312;微软雅黑" w:hAnsi="仿宋_GB2312;微软雅黑" w:eastAsia="仿宋_GB2312;微软雅黑" w:cs="仿宋_GB2312;微软雅黑"/>
                <w:b/>
                <w:spacing w:val="6"/>
                <w:szCs w:val="21"/>
              </w:rPr>
              <w:t xml:space="preserve"> </w:t>
            </w:r>
            <w:r>
              <w:rPr>
                <w:rFonts w:ascii="仿宋_GB2312;微软雅黑" w:hAnsi="仿宋_GB2312;微软雅黑" w:eastAsia="仿宋_GB2312;微软雅黑" w:cs="仿宋_GB2312;微软雅黑"/>
                <w:spacing w:val="6"/>
                <w:szCs w:val="21"/>
              </w:rPr>
              <w:t>32位微处理器</w:t>
            </w:r>
          </w:p>
          <w:p>
            <w:r>
              <w:rPr>
                <w:rFonts w:ascii="仿宋_GB2312;微软雅黑" w:hAnsi="仿宋_GB2312;微软雅黑" w:eastAsia="仿宋_GB2312;微软雅黑" w:cs="仿宋_GB2312;微软雅黑"/>
                <w:b/>
                <w:spacing w:val="6"/>
                <w:szCs w:val="21"/>
              </w:rPr>
              <w:t>1.3：</w:t>
            </w:r>
            <w:r>
              <w:rPr>
                <w:rFonts w:ascii="仿宋_GB2312;微软雅黑" w:hAnsi="仿宋_GB2312;微软雅黑" w:eastAsia="仿宋_GB2312;微软雅黑" w:cs="仿宋_GB2312;微软雅黑"/>
                <w:spacing w:val="6"/>
                <w:szCs w:val="21"/>
              </w:rPr>
              <w:t>全网通模块，7模，自适应支持移动、电信和联通三大运营商的各类通信卡</w:t>
            </w:r>
          </w:p>
          <w:p>
            <w:r>
              <w:rPr>
                <w:rFonts w:ascii="仿宋_GB2312;微软雅黑" w:hAnsi="仿宋_GB2312;微软雅黑" w:eastAsia="仿宋_GB2312;微软雅黑" w:cs="仿宋_GB2312;微软雅黑"/>
                <w:b/>
                <w:spacing w:val="6"/>
                <w:szCs w:val="21"/>
              </w:rPr>
              <w:t>1.4 GPS模块：</w:t>
            </w:r>
            <w:r>
              <w:rPr>
                <w:rFonts w:ascii="仿宋_GB2312;微软雅黑" w:hAnsi="仿宋_GB2312;微软雅黑" w:eastAsia="仿宋_GB2312;微软雅黑" w:cs="仿宋_GB2312;微软雅黑"/>
                <w:color w:val="000000"/>
                <w:spacing w:val="6"/>
                <w:szCs w:val="21"/>
              </w:rPr>
              <w:t>支持GPS/GLONASS/BeiDou三模定位</w:t>
            </w:r>
          </w:p>
          <w:p>
            <w:r>
              <w:rPr>
                <w:rFonts w:ascii="仿宋_GB2312;微软雅黑" w:hAnsi="仿宋_GB2312;微软雅黑" w:eastAsia="仿宋_GB2312;微软雅黑" w:cs="仿宋_GB2312;微软雅黑"/>
                <w:b/>
                <w:spacing w:val="6"/>
                <w:szCs w:val="21"/>
              </w:rPr>
              <w:t>1.5辅助定位：</w:t>
            </w:r>
            <w:r>
              <w:rPr>
                <w:rFonts w:ascii="仿宋_GB2312;微软雅黑" w:hAnsi="仿宋_GB2312;微软雅黑" w:eastAsia="仿宋_GB2312;微软雅黑" w:cs="仿宋_GB2312;微软雅黑"/>
                <w:color w:val="000000"/>
                <w:spacing w:val="6"/>
                <w:szCs w:val="21"/>
              </w:rPr>
              <w:t>支持AGPS，可实现首次快速定位</w:t>
            </w:r>
          </w:p>
          <w:p>
            <w:r>
              <w:rPr>
                <w:rFonts w:ascii="仿宋_GB2312;微软雅黑" w:hAnsi="仿宋_GB2312;微软雅黑" w:eastAsia="仿宋_GB2312;微软雅黑" w:cs="仿宋_GB2312;微软雅黑"/>
                <w:b/>
                <w:spacing w:val="6"/>
                <w:szCs w:val="21"/>
              </w:rPr>
              <w:t>1.6差分定位：</w:t>
            </w:r>
            <w:r>
              <w:rPr>
                <w:rFonts w:ascii="仿宋_GB2312;微软雅黑" w:hAnsi="仿宋_GB2312;微软雅黑" w:eastAsia="仿宋_GB2312;微软雅黑" w:cs="仿宋_GB2312;微软雅黑"/>
                <w:color w:val="000000"/>
                <w:spacing w:val="6"/>
                <w:szCs w:val="21"/>
              </w:rPr>
              <w:t>支持亚米级差分定位</w:t>
            </w:r>
            <w:r>
              <w:rPr>
                <w:rFonts w:ascii="仿宋_GB2312;微软雅黑" w:hAnsi="仿宋_GB2312;微软雅黑" w:eastAsia="仿宋_GB2312;微软雅黑" w:cs="仿宋_GB2312;微软雅黑"/>
                <w:spacing w:val="6"/>
                <w:szCs w:val="21"/>
              </w:rPr>
              <w:t>（需要差分基站配合）</w:t>
            </w:r>
          </w:p>
          <w:p>
            <w:r>
              <w:rPr>
                <w:rFonts w:ascii="仿宋_GB2312;微软雅黑" w:hAnsi="仿宋_GB2312;微软雅黑" w:eastAsia="仿宋_GB2312;微软雅黑" w:cs="仿宋_GB2312;微软雅黑"/>
                <w:b/>
                <w:spacing w:val="6"/>
                <w:szCs w:val="21"/>
              </w:rPr>
              <w:t>1.7数据存储：</w:t>
            </w:r>
            <w:r>
              <w:rPr>
                <w:rFonts w:ascii="仿宋_GB2312;微软雅黑" w:hAnsi="仿宋_GB2312;微软雅黑" w:eastAsia="仿宋_GB2312;微软雅黑" w:cs="仿宋_GB2312;微软雅黑"/>
                <w:spacing w:val="6"/>
                <w:szCs w:val="21"/>
              </w:rPr>
              <w:t>盲区补传≥10万点，多边形电子围栏≥100</w:t>
            </w:r>
          </w:p>
          <w:p>
            <w:r>
              <w:rPr>
                <w:rFonts w:ascii="仿宋_GB2312;微软雅黑" w:hAnsi="仿宋_GB2312;微软雅黑" w:eastAsia="仿宋_GB2312;微软雅黑" w:cs="仿宋_GB2312;微软雅黑"/>
                <w:b/>
                <w:spacing w:val="6"/>
                <w:szCs w:val="21"/>
              </w:rPr>
              <w:t>1.8语音报警：</w:t>
            </w:r>
            <w:r>
              <w:rPr>
                <w:rFonts w:ascii="仿宋_GB2312;微软雅黑" w:hAnsi="仿宋_GB2312;微软雅黑" w:eastAsia="仿宋_GB2312;微软雅黑" w:cs="仿宋_GB2312;微软雅黑"/>
                <w:spacing w:val="6"/>
                <w:szCs w:val="21"/>
              </w:rPr>
              <w:t>驶入和驶出越界报警、STOP线报警、超速报警、超时停车、疲劳驾驶等报警</w:t>
            </w:r>
          </w:p>
          <w:p>
            <w:r>
              <w:rPr>
                <w:rFonts w:ascii="仿宋_GB2312;微软雅黑" w:hAnsi="仿宋_GB2312;微软雅黑" w:eastAsia="仿宋_GB2312;微软雅黑" w:cs="仿宋_GB2312;微软雅黑"/>
                <w:b/>
                <w:spacing w:val="6"/>
                <w:szCs w:val="21"/>
              </w:rPr>
              <w:t>1.9设备外设：</w:t>
            </w:r>
            <w:r>
              <w:rPr>
                <w:rFonts w:ascii="仿宋_GB2312;微软雅黑" w:hAnsi="仿宋_GB2312;微软雅黑" w:eastAsia="仿宋_GB2312;微软雅黑" w:cs="仿宋_GB2312;微软雅黑"/>
                <w:spacing w:val="6"/>
                <w:szCs w:val="21"/>
              </w:rPr>
              <w:t>需支持以串口、USB等方式提供设备扩展能力，如外接读卡器、摄像头</w:t>
            </w:r>
          </w:p>
          <w:p>
            <w:r>
              <w:rPr>
                <w:rFonts w:ascii="仿宋_GB2312;微软雅黑" w:hAnsi="仿宋_GB2312;微软雅黑" w:eastAsia="仿宋_GB2312;微软雅黑" w:cs="仿宋_GB2312;微软雅黑"/>
                <w:b/>
                <w:bCs/>
                <w:spacing w:val="6"/>
                <w:szCs w:val="21"/>
              </w:rPr>
              <w:t>1.10定制功能：</w:t>
            </w:r>
            <w:r>
              <w:rPr>
                <w:rFonts w:ascii="仿宋_GB2312;微软雅黑" w:hAnsi="仿宋_GB2312;微软雅黑" w:eastAsia="仿宋_GB2312;微软雅黑" w:cs="仿宋_GB2312;微软雅黑"/>
                <w:spacing w:val="6"/>
                <w:szCs w:val="21"/>
              </w:rPr>
              <w:t>可为用户提供提示语音、围栏报警行为、刷卡操作等个性化定制服务</w:t>
            </w:r>
          </w:p>
          <w:p>
            <w:r>
              <w:rPr>
                <w:rFonts w:ascii="仿宋_GB2312;微软雅黑" w:hAnsi="仿宋_GB2312;微软雅黑" w:eastAsia="仿宋_GB2312;微软雅黑" w:cs="仿宋_GB2312;微软雅黑"/>
                <w:b/>
                <w:spacing w:val="6"/>
                <w:szCs w:val="21"/>
              </w:rPr>
              <w:t>1.11数传方式：</w:t>
            </w:r>
            <w:r>
              <w:rPr>
                <w:rFonts w:ascii="仿宋_GB2312;微软雅黑" w:hAnsi="仿宋_GB2312;微软雅黑" w:eastAsia="仿宋_GB2312;微软雅黑" w:cs="仿宋_GB2312;微软雅黑"/>
                <w:spacing w:val="6"/>
                <w:szCs w:val="21"/>
              </w:rPr>
              <w:t>支持TCP、UDP，TCP+UDP</w:t>
            </w:r>
          </w:p>
          <w:p>
            <w:r>
              <w:rPr>
                <w:rFonts w:ascii="仿宋_GB2312;微软雅黑" w:hAnsi="仿宋_GB2312;微软雅黑" w:eastAsia="仿宋_GB2312;微软雅黑" w:cs="仿宋_GB2312;微软雅黑"/>
                <w:b/>
                <w:spacing w:val="6"/>
                <w:szCs w:val="21"/>
              </w:rPr>
              <w:t>1.12输入电压：</w:t>
            </w:r>
            <w:r>
              <w:rPr>
                <w:rFonts w:ascii="仿宋_GB2312;微软雅黑" w:hAnsi="仿宋_GB2312;微软雅黑" w:eastAsia="仿宋_GB2312;微软雅黑" w:cs="仿宋_GB2312;微软雅黑"/>
                <w:spacing w:val="6"/>
                <w:szCs w:val="21"/>
              </w:rPr>
              <w:t>9～32V，直流，带保险丝，适用于12V、24V车载蓄电瓶车辆</w:t>
            </w:r>
          </w:p>
          <w:p>
            <w:r>
              <w:rPr>
                <w:rFonts w:ascii="仿宋_GB2312;微软雅黑" w:hAnsi="仿宋_GB2312;微软雅黑" w:eastAsia="仿宋_GB2312;微软雅黑" w:cs="仿宋_GB2312;微软雅黑"/>
                <w:b/>
                <w:spacing w:val="6"/>
                <w:szCs w:val="21"/>
              </w:rPr>
              <w:t>1.13工作电流：</w:t>
            </w:r>
            <w:r>
              <w:rPr>
                <w:rFonts w:ascii="仿宋_GB2312;微软雅黑" w:hAnsi="仿宋_GB2312;微软雅黑" w:eastAsia="仿宋_GB2312;微软雅黑" w:cs="仿宋_GB2312;微软雅黑"/>
                <w:spacing w:val="6"/>
                <w:szCs w:val="21"/>
              </w:rPr>
              <w:t>100～300mA @12V DC</w:t>
            </w:r>
          </w:p>
          <w:p>
            <w:r>
              <w:rPr>
                <w:rFonts w:ascii="仿宋_GB2312;微软雅黑" w:hAnsi="仿宋_GB2312;微软雅黑" w:eastAsia="仿宋_GB2312;微软雅黑" w:cs="仿宋_GB2312;微软雅黑"/>
                <w:b/>
                <w:spacing w:val="6"/>
                <w:szCs w:val="21"/>
              </w:rPr>
              <w:t>1.14电源保护：</w:t>
            </w:r>
            <w:r>
              <w:rPr>
                <w:rFonts w:ascii="仿宋_GB2312;微软雅黑" w:hAnsi="仿宋_GB2312;微软雅黑" w:eastAsia="仿宋_GB2312;微软雅黑" w:cs="仿宋_GB2312;微软雅黑"/>
                <w:spacing w:val="6"/>
                <w:szCs w:val="21"/>
              </w:rPr>
              <w:t>抗车辆点火干扰沿电源线传导骚扰，符合ISO7637-2 P5A IV级</w:t>
            </w:r>
          </w:p>
          <w:p>
            <w:r>
              <w:rPr>
                <w:rFonts w:ascii="仿宋_GB2312;微软雅黑" w:hAnsi="仿宋_GB2312;微软雅黑" w:eastAsia="仿宋_GB2312;微软雅黑" w:cs="仿宋_GB2312;微软雅黑"/>
                <w:b/>
                <w:spacing w:val="6"/>
                <w:szCs w:val="21"/>
              </w:rPr>
              <w:t>1.15备用电池：</w:t>
            </w:r>
            <w:r>
              <w:rPr>
                <w:rFonts w:ascii="仿宋_GB2312;微软雅黑" w:hAnsi="仿宋_GB2312;微软雅黑" w:eastAsia="仿宋_GB2312;微软雅黑" w:cs="仿宋_GB2312;微软雅黑"/>
                <w:spacing w:val="6"/>
                <w:szCs w:val="21"/>
              </w:rPr>
              <w:t>禁止使用锂电池等电池作为后备电源进行供电。需采用超级储能电容（充放电寿命50万次以上）代替备用电池，在-40至+80宽温范围内，最长3分钟完成快速充电，可满足机场频繁点火和熄火的运行特点，熄火后维持最少10秒数据上传时间</w:t>
            </w:r>
          </w:p>
          <w:p>
            <w:r>
              <w:rPr>
                <w:rFonts w:ascii="仿宋_GB2312;微软雅黑" w:hAnsi="仿宋_GB2312;微软雅黑" w:eastAsia="仿宋_GB2312;微软雅黑" w:cs="仿宋_GB2312;微软雅黑"/>
                <w:b/>
                <w:spacing w:val="6"/>
                <w:szCs w:val="21"/>
              </w:rPr>
              <w:t>1.16工作温度：</w:t>
            </w:r>
            <w:r>
              <w:rPr>
                <w:rFonts w:ascii="仿宋_GB2312;微软雅黑" w:hAnsi="仿宋_GB2312;微软雅黑" w:eastAsia="仿宋_GB2312;微软雅黑" w:cs="仿宋_GB2312;微软雅黑"/>
                <w:spacing w:val="6"/>
                <w:szCs w:val="21"/>
              </w:rPr>
              <w:t>-30度～+70度</w:t>
            </w:r>
          </w:p>
          <w:p>
            <w:r>
              <w:rPr>
                <w:rFonts w:ascii="仿宋_GB2312;微软雅黑" w:hAnsi="仿宋_GB2312;微软雅黑" w:eastAsia="仿宋_GB2312;微软雅黑" w:cs="仿宋_GB2312;微软雅黑"/>
                <w:b/>
                <w:spacing w:val="6"/>
                <w:szCs w:val="21"/>
              </w:rPr>
              <w:t>1.17存储温度：</w:t>
            </w:r>
            <w:r>
              <w:rPr>
                <w:rFonts w:ascii="仿宋_GB2312;微软雅黑" w:hAnsi="仿宋_GB2312;微软雅黑" w:eastAsia="仿宋_GB2312;微软雅黑" w:cs="仿宋_GB2312;微软雅黑"/>
                <w:spacing w:val="6"/>
                <w:szCs w:val="21"/>
              </w:rPr>
              <w:t>-55度～+105度</w:t>
            </w:r>
          </w:p>
          <w:p>
            <w:r>
              <w:rPr>
                <w:rFonts w:ascii="仿宋_GB2312;微软雅黑" w:hAnsi="仿宋_GB2312;微软雅黑" w:eastAsia="仿宋_GB2312;微软雅黑" w:cs="仿宋_GB2312;微软雅黑"/>
                <w:b/>
                <w:spacing w:val="6"/>
                <w:szCs w:val="21"/>
              </w:rPr>
              <w:t>1.18工作湿度：</w:t>
            </w:r>
            <w:r>
              <w:rPr>
                <w:rFonts w:ascii="仿宋_GB2312;微软雅黑" w:hAnsi="仿宋_GB2312;微软雅黑" w:eastAsia="仿宋_GB2312;微软雅黑" w:cs="仿宋_GB2312;微软雅黑"/>
                <w:spacing w:val="6"/>
                <w:szCs w:val="21"/>
              </w:rPr>
              <w:t>≤95%</w:t>
            </w:r>
          </w:p>
          <w:p>
            <w:r>
              <w:rPr>
                <w:rFonts w:ascii="仿宋_GB2312;微软雅黑" w:hAnsi="仿宋_GB2312;微软雅黑" w:eastAsia="仿宋_GB2312;微软雅黑" w:cs="仿宋_GB2312;微软雅黑"/>
                <w:b/>
                <w:spacing w:val="6"/>
                <w:szCs w:val="21"/>
              </w:rPr>
              <w:t>1.19</w:t>
            </w:r>
            <w:r>
              <w:rPr>
                <w:rFonts w:ascii="仿宋_GB2312;微软雅黑" w:hAnsi="仿宋_GB2312;微软雅黑" w:eastAsia="仿宋_GB2312;微软雅黑" w:cs="仿宋_GB2312;微软雅黑"/>
                <w:b/>
                <w:bCs/>
                <w:spacing w:val="6"/>
                <w:szCs w:val="21"/>
              </w:rPr>
              <w:t>电磁兼容</w:t>
            </w:r>
            <w:r>
              <w:rPr>
                <w:rFonts w:ascii="仿宋_GB2312;微软雅黑" w:hAnsi="仿宋_GB2312;微软雅黑" w:eastAsia="仿宋_GB2312;微软雅黑" w:cs="仿宋_GB2312;微软雅黑"/>
                <w:spacing w:val="6"/>
                <w:szCs w:val="21"/>
              </w:rPr>
              <w:t>： 接触放电 +-7KV, 空气放电+-14KV</w:t>
            </w:r>
          </w:p>
          <w:p/>
        </w:tc>
      </w:tr>
    </w:tbl>
    <w:p>
      <w:pPr>
        <w:spacing w:line="360" w:lineRule="exact"/>
        <w:ind w:firstLine="420"/>
      </w:pPr>
      <w:r>
        <w:rPr>
          <w:rFonts w:ascii="宋体;SimSun" w:hAnsi="宋体;SimSun" w:cs="宋体;SimSun"/>
          <w:b/>
          <w:szCs w:val="21"/>
        </w:rPr>
        <w:t>2.语音播报器</w:t>
      </w:r>
    </w:p>
    <w:p>
      <w:pPr>
        <w:pBdr>
          <w:top w:val="single" w:color="000000" w:sz="4" w:space="0"/>
          <w:left w:val="single" w:color="000000" w:sz="4" w:space="0"/>
          <w:bottom w:val="single" w:color="000000" w:sz="4" w:space="0"/>
          <w:right w:val="single" w:color="000000" w:sz="4" w:space="0"/>
        </w:pBdr>
        <w:snapToGrid w:val="0"/>
        <w:spacing w:line="300" w:lineRule="exact"/>
      </w:pPr>
      <w:r>
        <w:rPr>
          <w:rFonts w:ascii="仿宋_GB2312;微软雅黑" w:hAnsi="仿宋_GB2312;微软雅黑" w:eastAsia="仿宋_GB2312;微软雅黑" w:cs="仿宋_GB2312;微软雅黑"/>
          <w:b/>
          <w:spacing w:val="6"/>
          <w:szCs w:val="21"/>
        </w:rPr>
        <w:t>2.1</w:t>
      </w:r>
      <w:r>
        <w:rPr>
          <w:rFonts w:ascii="仿宋_GB2312;微软雅黑" w:hAnsi="仿宋_GB2312;微软雅黑" w:eastAsia="仿宋_GB2312;微软雅黑" w:cs="宋体;SimSun"/>
          <w:b/>
          <w:spacing w:val="6"/>
          <w:szCs w:val="21"/>
        </w:rPr>
        <w:t>语言播报信息</w:t>
      </w:r>
      <w:r>
        <w:rPr>
          <w:rFonts w:ascii="仿宋_GB2312;微软雅黑" w:hAnsi="仿宋_GB2312;微软雅黑" w:eastAsia="仿宋_GB2312;微软雅黑" w:cs="仿宋_GB2312;微软雅黑"/>
          <w:spacing w:val="6"/>
          <w:szCs w:val="21"/>
        </w:rPr>
        <w:tab/>
      </w:r>
      <w:r>
        <w:rPr>
          <w:rFonts w:ascii="仿宋_GB2312;微软雅黑" w:hAnsi="仿宋_GB2312;微软雅黑" w:eastAsia="仿宋_GB2312;微软雅黑" w:cs="宋体;SimSun"/>
          <w:spacing w:val="6"/>
          <w:szCs w:val="21"/>
        </w:rPr>
        <w:t>能清晰地播报中文语音（普通话）</w:t>
      </w:r>
    </w:p>
    <w:p>
      <w:pPr>
        <w:pBdr>
          <w:top w:val="single" w:color="000000" w:sz="4" w:space="0"/>
          <w:left w:val="single" w:color="000000" w:sz="4" w:space="0"/>
          <w:bottom w:val="single" w:color="000000" w:sz="4" w:space="0"/>
          <w:right w:val="single" w:color="000000" w:sz="4" w:space="0"/>
        </w:pBdr>
        <w:snapToGrid w:val="0"/>
        <w:spacing w:line="300" w:lineRule="exact"/>
      </w:pPr>
      <w:r>
        <w:rPr>
          <w:rFonts w:ascii="仿宋_GB2312;微软雅黑" w:hAnsi="仿宋_GB2312;微软雅黑" w:eastAsia="仿宋_GB2312;微软雅黑" w:cs="仿宋_GB2312;微软雅黑"/>
          <w:b/>
          <w:spacing w:val="6"/>
          <w:szCs w:val="21"/>
        </w:rPr>
        <w:t>2.2</w:t>
      </w:r>
      <w:r>
        <w:rPr>
          <w:rFonts w:ascii="仿宋_GB2312;微软雅黑" w:hAnsi="仿宋_GB2312;微软雅黑" w:eastAsia="仿宋_GB2312;微软雅黑" w:cs="宋体;SimSun"/>
          <w:b/>
          <w:spacing w:val="6"/>
          <w:szCs w:val="21"/>
        </w:rPr>
        <w:t>工作温度</w:t>
      </w:r>
      <w:r>
        <w:rPr>
          <w:rFonts w:ascii="仿宋_GB2312;微软雅黑" w:hAnsi="仿宋_GB2312;微软雅黑" w:eastAsia="仿宋_GB2312;微软雅黑" w:cs="仿宋_GB2312;微软雅黑"/>
          <w:spacing w:val="6"/>
          <w:szCs w:val="21"/>
        </w:rPr>
        <w:tab/>
      </w:r>
      <w:r>
        <w:rPr>
          <w:rFonts w:ascii="仿宋_GB2312;微软雅黑" w:hAnsi="仿宋_GB2312;微软雅黑" w:eastAsia="仿宋_GB2312;微软雅黑" w:cs="仿宋_GB2312;微软雅黑"/>
          <w:spacing w:val="6"/>
          <w:szCs w:val="21"/>
        </w:rPr>
        <w:tab/>
      </w:r>
      <w:r>
        <w:rPr>
          <w:rFonts w:ascii="仿宋_GB2312;微软雅黑" w:hAnsi="仿宋_GB2312;微软雅黑" w:eastAsia="仿宋_GB2312;微软雅黑" w:cs="仿宋_GB2312;微软雅黑"/>
          <w:spacing w:val="6"/>
          <w:szCs w:val="21"/>
        </w:rPr>
        <w:t>-25℃</w:t>
      </w:r>
      <w:r>
        <w:rPr>
          <w:rFonts w:ascii="仿宋_GB2312;微软雅黑" w:hAnsi="仿宋_GB2312;微软雅黑" w:eastAsia="仿宋_GB2312;微软雅黑" w:cs="宋体;SimSun"/>
          <w:spacing w:val="6"/>
          <w:szCs w:val="21"/>
        </w:rPr>
        <w:t>～</w:t>
      </w:r>
      <w:r>
        <w:rPr>
          <w:rFonts w:ascii="仿宋_GB2312;微软雅黑" w:hAnsi="仿宋_GB2312;微软雅黑" w:eastAsia="仿宋_GB2312;微软雅黑" w:cs="仿宋_GB2312;微软雅黑"/>
          <w:spacing w:val="6"/>
          <w:szCs w:val="21"/>
        </w:rPr>
        <w:t>70℃</w:t>
      </w:r>
    </w:p>
    <w:p>
      <w:pPr>
        <w:pBdr>
          <w:top w:val="single" w:color="000000" w:sz="4" w:space="0"/>
          <w:left w:val="single" w:color="000000" w:sz="4" w:space="0"/>
          <w:bottom w:val="single" w:color="000000" w:sz="4" w:space="0"/>
          <w:right w:val="single" w:color="000000" w:sz="4" w:space="0"/>
        </w:pBdr>
        <w:snapToGrid w:val="0"/>
        <w:spacing w:line="300" w:lineRule="exact"/>
      </w:pPr>
      <w:r>
        <w:rPr>
          <w:rFonts w:ascii="仿宋_GB2312;微软雅黑" w:hAnsi="仿宋_GB2312;微软雅黑" w:eastAsia="仿宋_GB2312;微软雅黑" w:cs="仿宋_GB2312;微软雅黑"/>
          <w:b/>
          <w:spacing w:val="6"/>
          <w:szCs w:val="21"/>
        </w:rPr>
        <w:t>2.3</w:t>
      </w:r>
      <w:r>
        <w:rPr>
          <w:rFonts w:ascii="仿宋_GB2312;微软雅黑" w:hAnsi="仿宋_GB2312;微软雅黑" w:eastAsia="仿宋_GB2312;微软雅黑" w:cs="宋体;SimSun"/>
          <w:b/>
          <w:spacing w:val="6"/>
          <w:szCs w:val="21"/>
        </w:rPr>
        <w:t>存储温度</w:t>
      </w:r>
      <w:r>
        <w:rPr>
          <w:rFonts w:ascii="仿宋_GB2312;微软雅黑" w:hAnsi="仿宋_GB2312;微软雅黑" w:eastAsia="仿宋_GB2312;微软雅黑" w:cs="仿宋_GB2312;微软雅黑"/>
          <w:spacing w:val="6"/>
          <w:szCs w:val="21"/>
        </w:rPr>
        <w:tab/>
      </w:r>
      <w:r>
        <w:rPr>
          <w:rFonts w:ascii="仿宋_GB2312;微软雅黑" w:hAnsi="仿宋_GB2312;微软雅黑" w:eastAsia="仿宋_GB2312;微软雅黑" w:cs="仿宋_GB2312;微软雅黑"/>
          <w:spacing w:val="6"/>
          <w:szCs w:val="21"/>
        </w:rPr>
        <w:tab/>
      </w:r>
      <w:r>
        <w:rPr>
          <w:rFonts w:ascii="仿宋_GB2312;微软雅黑" w:hAnsi="仿宋_GB2312;微软雅黑" w:eastAsia="仿宋_GB2312;微软雅黑" w:cs="仿宋_GB2312;微软雅黑"/>
          <w:spacing w:val="6"/>
          <w:szCs w:val="21"/>
        </w:rPr>
        <w:t>-40℃</w:t>
      </w:r>
      <w:r>
        <w:rPr>
          <w:rFonts w:ascii="仿宋_GB2312;微软雅黑" w:hAnsi="仿宋_GB2312;微软雅黑" w:eastAsia="仿宋_GB2312;微软雅黑" w:cs="宋体;SimSun"/>
          <w:spacing w:val="6"/>
          <w:szCs w:val="21"/>
        </w:rPr>
        <w:t>～</w:t>
      </w:r>
      <w:r>
        <w:rPr>
          <w:rFonts w:ascii="仿宋_GB2312;微软雅黑" w:hAnsi="仿宋_GB2312;微软雅黑" w:eastAsia="仿宋_GB2312;微软雅黑" w:cs="仿宋_GB2312;微软雅黑"/>
          <w:spacing w:val="6"/>
          <w:szCs w:val="21"/>
        </w:rPr>
        <w:t>85℃</w:t>
      </w:r>
    </w:p>
    <w:p>
      <w:pPr>
        <w:pBdr>
          <w:top w:val="single" w:color="000000" w:sz="4" w:space="0"/>
          <w:left w:val="single" w:color="000000" w:sz="4" w:space="0"/>
          <w:bottom w:val="single" w:color="000000" w:sz="4" w:space="0"/>
          <w:right w:val="single" w:color="000000" w:sz="4" w:space="0"/>
        </w:pBdr>
        <w:snapToGrid w:val="0"/>
        <w:spacing w:line="300" w:lineRule="exact"/>
      </w:pPr>
      <w:r>
        <w:rPr>
          <w:rFonts w:ascii="仿宋_GB2312;微软雅黑" w:hAnsi="仿宋_GB2312;微软雅黑" w:eastAsia="仿宋_GB2312;微软雅黑" w:cs="仿宋_GB2312;微软雅黑"/>
          <w:b/>
          <w:spacing w:val="6"/>
          <w:szCs w:val="21"/>
        </w:rPr>
        <w:t>2.4</w:t>
      </w:r>
      <w:r>
        <w:rPr>
          <w:rFonts w:ascii="仿宋_GB2312;微软雅黑" w:hAnsi="仿宋_GB2312;微软雅黑" w:eastAsia="仿宋_GB2312;微软雅黑" w:cs="宋体;SimSun"/>
          <w:b/>
          <w:spacing w:val="6"/>
          <w:szCs w:val="21"/>
        </w:rPr>
        <w:t>相对湿度</w:t>
      </w:r>
      <w:r>
        <w:rPr>
          <w:rFonts w:ascii="仿宋_GB2312;微软雅黑" w:hAnsi="仿宋_GB2312;微软雅黑" w:eastAsia="仿宋_GB2312;微软雅黑" w:cs="仿宋_GB2312;微软雅黑"/>
          <w:spacing w:val="6"/>
          <w:szCs w:val="21"/>
        </w:rPr>
        <w:tab/>
      </w:r>
      <w:r>
        <w:rPr>
          <w:rFonts w:ascii="仿宋_GB2312;微软雅黑" w:hAnsi="仿宋_GB2312;微软雅黑" w:eastAsia="仿宋_GB2312;微软雅黑" w:cs="仿宋_GB2312;微软雅黑"/>
          <w:spacing w:val="6"/>
          <w:szCs w:val="21"/>
        </w:rPr>
        <w:tab/>
      </w:r>
      <w:r>
        <w:rPr>
          <w:rFonts w:ascii="仿宋_GB2312;微软雅黑" w:hAnsi="仿宋_GB2312;微软雅黑" w:eastAsia="仿宋_GB2312;微软雅黑" w:cs="仿宋_GB2312;微软雅黑"/>
          <w:spacing w:val="6"/>
          <w:szCs w:val="21"/>
        </w:rPr>
        <w:t>5%</w:t>
      </w:r>
      <w:r>
        <w:rPr>
          <w:rFonts w:ascii="仿宋_GB2312;微软雅黑" w:hAnsi="仿宋_GB2312;微软雅黑" w:eastAsia="仿宋_GB2312;微软雅黑" w:cs="宋体;SimSun"/>
          <w:spacing w:val="6"/>
          <w:szCs w:val="21"/>
        </w:rPr>
        <w:t>～</w:t>
      </w:r>
      <w:r>
        <w:rPr>
          <w:rFonts w:ascii="仿宋_GB2312;微软雅黑" w:hAnsi="仿宋_GB2312;微软雅黑" w:eastAsia="仿宋_GB2312;微软雅黑" w:cs="仿宋_GB2312;微软雅黑"/>
          <w:spacing w:val="6"/>
          <w:szCs w:val="21"/>
        </w:rPr>
        <w:t>95%</w:t>
      </w:r>
    </w:p>
    <w:p>
      <w:pPr>
        <w:snapToGrid w:val="0"/>
        <w:spacing w:line="360" w:lineRule="exact"/>
        <w:ind w:firstLine="420"/>
      </w:pPr>
      <w:r>
        <w:rPr>
          <w:rFonts w:ascii="宋体;SimSun" w:hAnsi="宋体;SimSun" w:cs="宋体;SimSun"/>
          <w:b/>
          <w:szCs w:val="21"/>
        </w:rPr>
        <w:t>3.</w:t>
      </w:r>
      <w:r>
        <w:rPr>
          <w:rFonts w:ascii="宋体;SimSun" w:hAnsi="宋体;SimSun" w:cs="仿宋_GB2312;微软雅黑"/>
          <w:b/>
          <w:szCs w:val="21"/>
        </w:rPr>
        <w:t>刷卡器</w:t>
      </w:r>
    </w:p>
    <w:p>
      <w:pPr>
        <w:snapToGrid w:val="0"/>
        <w:spacing w:line="360" w:lineRule="exact"/>
        <w:ind w:firstLine="420"/>
      </w:pPr>
      <w:r>
        <w:rPr>
          <w:rFonts w:ascii="宋体;SimSun" w:hAnsi="宋体;SimSun" w:cs="仿宋_GB2312;微软雅黑"/>
          <w:szCs w:val="21"/>
        </w:rPr>
        <w:t>可</w:t>
      </w:r>
      <w:r>
        <w:rPr>
          <w:rFonts w:ascii="宋体;SimSun" w:hAnsi="宋体;SimSun" w:cs="Calibri"/>
          <w:bCs/>
          <w:kern w:val="0"/>
          <w:szCs w:val="21"/>
        </w:rPr>
        <w:t>通过智能车载终端的</w:t>
      </w:r>
      <w:r>
        <w:rPr>
          <w:rFonts w:ascii="宋体;SimSun" w:hAnsi="宋体;SimSun" w:cs="仿宋_GB2312;微软雅黑"/>
          <w:szCs w:val="21"/>
        </w:rPr>
        <w:t>串口或</w:t>
      </w:r>
      <w:r>
        <w:rPr>
          <w:rFonts w:ascii="宋体;SimSun" w:hAnsi="宋体;SimSun" w:cs="宋体;SimSun"/>
          <w:szCs w:val="21"/>
        </w:rPr>
        <w:t>USB</w:t>
      </w:r>
      <w:r>
        <w:rPr>
          <w:rFonts w:ascii="宋体;SimSun" w:hAnsi="宋体;SimSun" w:cs="仿宋_GB2312;微软雅黑"/>
          <w:szCs w:val="21"/>
        </w:rPr>
        <w:t>口连接读卡器，读取机场内使用的</w:t>
      </w:r>
      <w:r>
        <w:rPr>
          <w:rFonts w:ascii="宋体;SimSun" w:hAnsi="宋体;SimSun" w:cs="宋体;SimSun"/>
          <w:szCs w:val="21"/>
        </w:rPr>
        <w:t>HID</w:t>
      </w:r>
      <w:r>
        <w:rPr>
          <w:rFonts w:ascii="宋体;SimSun" w:hAnsi="宋体;SimSun" w:cs="仿宋_GB2312;微软雅黑"/>
          <w:szCs w:val="21"/>
        </w:rPr>
        <w:t>卡号信息，并上传。</w:t>
      </w:r>
    </w:p>
    <w:p>
      <w:pPr>
        <w:snapToGrid w:val="0"/>
        <w:spacing w:line="360" w:lineRule="exact"/>
        <w:ind w:firstLine="420"/>
      </w:pPr>
      <w:r>
        <w:rPr>
          <w:rFonts w:hint="eastAsia" w:ascii="宋体;SimSun" w:hAnsi="宋体;SimSun" w:cs="宋体;SimSun"/>
          <w:b/>
          <w:bCs/>
          <w:kern w:val="0"/>
          <w:szCs w:val="21"/>
        </w:rPr>
        <w:t>4</w:t>
      </w:r>
      <w:r>
        <w:rPr>
          <w:rFonts w:ascii="宋体;SimSun" w:hAnsi="宋体;SimSun" w:cs="宋体;SimSun"/>
          <w:b/>
          <w:bCs/>
          <w:kern w:val="0"/>
          <w:szCs w:val="21"/>
        </w:rPr>
        <w:t>.</w:t>
      </w:r>
      <w:r>
        <w:rPr>
          <w:rFonts w:ascii="宋体;SimSun" w:hAnsi="宋体;SimSun" w:cs="Calibri"/>
          <w:b/>
          <w:bCs/>
          <w:kern w:val="0"/>
          <w:szCs w:val="21"/>
        </w:rPr>
        <w:t>多路脉冲信号输入输出</w:t>
      </w:r>
    </w:p>
    <w:p>
      <w:pPr>
        <w:pStyle w:val="130"/>
        <w:snapToGrid w:val="0"/>
        <w:spacing w:line="360" w:lineRule="exact"/>
        <w:ind w:firstLine="442"/>
      </w:pPr>
      <w:r>
        <w:rPr>
          <w:rFonts w:ascii="宋体;SimSun" w:hAnsi="宋体;SimSun" w:cs="Calibri"/>
          <w:b/>
          <w:bCs/>
          <w:kern w:val="0"/>
          <w:sz w:val="22"/>
        </w:rPr>
        <w:t>五</w:t>
      </w:r>
      <w:r>
        <w:rPr>
          <w:rFonts w:ascii="宋体;SimSun" w:hAnsi="宋体;SimSun" w:cs="宋体;SimSun"/>
          <w:b/>
          <w:bCs/>
          <w:kern w:val="0"/>
          <w:sz w:val="22"/>
        </w:rPr>
        <w:t>.</w:t>
      </w:r>
      <w:r>
        <w:rPr>
          <w:rFonts w:ascii="宋体;SimSun" w:hAnsi="宋体;SimSun" w:cs="Calibri"/>
          <w:b/>
          <w:bCs/>
          <w:kern w:val="0"/>
          <w:sz w:val="22"/>
        </w:rPr>
        <w:t>服务升级</w:t>
      </w:r>
    </w:p>
    <w:p>
      <w:pPr>
        <w:snapToGrid w:val="0"/>
        <w:spacing w:line="360" w:lineRule="exact"/>
        <w:ind w:firstLine="440"/>
        <w:rPr>
          <w:rFonts w:hint="eastAsia" w:ascii="宋体;SimSun" w:hAnsi="宋体;SimSun" w:cs="Calibri"/>
          <w:kern w:val="0"/>
          <w:sz w:val="22"/>
        </w:rPr>
      </w:pPr>
      <w:r>
        <w:rPr>
          <w:rFonts w:ascii="宋体;SimSun" w:hAnsi="宋体;SimSun" w:cs="Calibri"/>
          <w:kern w:val="0"/>
          <w:sz w:val="22"/>
        </w:rPr>
        <w:t>在服务升级方面，</w:t>
      </w:r>
      <w:r>
        <w:rPr>
          <w:rFonts w:hint="eastAsia" w:ascii="宋体;SimSun" w:hAnsi="宋体;SimSun" w:cs="Calibri"/>
          <w:kern w:val="0"/>
          <w:sz w:val="22"/>
        </w:rPr>
        <w:t>投标人</w:t>
      </w:r>
      <w:r>
        <w:rPr>
          <w:rFonts w:ascii="宋体;SimSun" w:hAnsi="宋体;SimSun" w:cs="Calibri"/>
          <w:kern w:val="0"/>
          <w:sz w:val="22"/>
        </w:rPr>
        <w:t>做到以下要求：</w:t>
      </w:r>
    </w:p>
    <w:p>
      <w:pPr>
        <w:snapToGrid w:val="0"/>
        <w:spacing w:line="360" w:lineRule="exact"/>
        <w:ind w:firstLine="440"/>
      </w:pPr>
      <w:r>
        <w:rPr>
          <w:rFonts w:ascii="宋体;SimSun" w:hAnsi="宋体;SimSun" w:cs="宋体;SimSun"/>
          <w:kern w:val="0"/>
          <w:sz w:val="22"/>
        </w:rPr>
        <w:t>1</w:t>
      </w:r>
      <w:r>
        <w:rPr>
          <w:rFonts w:ascii="宋体;SimSun" w:hAnsi="宋体;SimSun" w:cs="Calibri"/>
          <w:kern w:val="0"/>
          <w:sz w:val="22"/>
        </w:rPr>
        <w:t>、因需满足</w:t>
      </w:r>
      <w:r>
        <w:rPr>
          <w:rFonts w:hint="eastAsia" w:ascii="宋体;SimSun" w:hAnsi="宋体;SimSun" w:cs="Calibri"/>
          <w:kern w:val="0"/>
          <w:sz w:val="22"/>
        </w:rPr>
        <w:t>招标人</w:t>
      </w:r>
      <w:r>
        <w:rPr>
          <w:rFonts w:ascii="宋体;SimSun" w:hAnsi="宋体;SimSun" w:cs="Calibri"/>
          <w:kern w:val="0"/>
          <w:sz w:val="22"/>
        </w:rPr>
        <w:t>其他要求服务升级时，保证提供的新服务不少于本合同已定义的功能列表；</w:t>
      </w:r>
    </w:p>
    <w:p>
      <w:pPr>
        <w:snapToGrid w:val="0"/>
        <w:spacing w:line="360" w:lineRule="exact"/>
        <w:ind w:firstLine="440"/>
      </w:pPr>
      <w:r>
        <w:rPr>
          <w:rFonts w:ascii="宋体;SimSun" w:hAnsi="宋体;SimSun" w:cs="宋体;SimSun"/>
          <w:kern w:val="0"/>
          <w:sz w:val="22"/>
        </w:rPr>
        <w:t>2</w:t>
      </w:r>
      <w:r>
        <w:rPr>
          <w:rFonts w:ascii="宋体;SimSun" w:hAnsi="宋体;SimSun" w:cs="Calibri"/>
          <w:kern w:val="0"/>
          <w:sz w:val="22"/>
        </w:rPr>
        <w:t>、因服务升级带来的新的功能、更新更全的地图数据，即使招标人使用这些功能和数据，也保证不再向</w:t>
      </w:r>
      <w:r>
        <w:rPr>
          <w:rFonts w:hint="eastAsia" w:ascii="宋体;SimSun" w:hAnsi="宋体;SimSun" w:cs="Calibri"/>
          <w:kern w:val="0"/>
          <w:sz w:val="22"/>
        </w:rPr>
        <w:t>招标人</w:t>
      </w:r>
      <w:r>
        <w:rPr>
          <w:rFonts w:ascii="宋体;SimSun" w:hAnsi="宋体;SimSun" w:cs="Calibri"/>
          <w:kern w:val="0"/>
          <w:sz w:val="22"/>
        </w:rPr>
        <w:t>要求支付多于服务期间签订时的费用（特殊需求定制除外）；</w:t>
      </w:r>
    </w:p>
    <w:p>
      <w:pPr>
        <w:snapToGrid w:val="0"/>
        <w:spacing w:line="360" w:lineRule="exact"/>
        <w:ind w:firstLine="440"/>
      </w:pPr>
      <w:r>
        <w:rPr>
          <w:rFonts w:ascii="宋体;SimSun" w:hAnsi="宋体;SimSun" w:cs="宋体;SimSun"/>
          <w:kern w:val="0"/>
          <w:sz w:val="22"/>
        </w:rPr>
        <w:t>3</w:t>
      </w:r>
      <w:r>
        <w:rPr>
          <w:rFonts w:ascii="宋体;SimSun" w:hAnsi="宋体;SimSun" w:cs="Calibri"/>
          <w:kern w:val="0"/>
          <w:sz w:val="22"/>
        </w:rPr>
        <w:t>、服务升级前，保证向招标人提前说明服务升级的内容和新增的功能。</w:t>
      </w:r>
    </w:p>
    <w:p>
      <w:pPr>
        <w:pStyle w:val="130"/>
        <w:snapToGrid w:val="0"/>
        <w:spacing w:line="360" w:lineRule="exact"/>
        <w:ind w:firstLine="442"/>
        <w:rPr>
          <w:rFonts w:hint="eastAsia" w:ascii="宋体;SimSun" w:hAnsi="宋体;SimSun" w:cs="Calibri"/>
          <w:b/>
          <w:bCs/>
          <w:kern w:val="0"/>
          <w:sz w:val="22"/>
        </w:rPr>
      </w:pPr>
      <w:r>
        <w:rPr>
          <w:rFonts w:ascii="宋体;SimSun" w:hAnsi="宋体;SimSun" w:cs="Calibri"/>
          <w:b/>
          <w:bCs/>
          <w:kern w:val="0"/>
          <w:sz w:val="22"/>
        </w:rPr>
        <w:t>六、服务连续性及可用性</w:t>
      </w:r>
    </w:p>
    <w:p>
      <w:pPr>
        <w:snapToGrid w:val="0"/>
        <w:spacing w:line="360" w:lineRule="exact"/>
        <w:ind w:firstLine="440"/>
        <w:rPr>
          <w:rFonts w:hint="eastAsia" w:ascii="宋体;SimSun" w:hAnsi="宋体;SimSun" w:cs="Calibri"/>
          <w:kern w:val="0"/>
          <w:sz w:val="22"/>
        </w:rPr>
      </w:pPr>
      <w:r>
        <w:rPr>
          <w:rFonts w:ascii="宋体;SimSun" w:hAnsi="宋体;SimSun" w:cs="Calibri"/>
          <w:kern w:val="0"/>
          <w:sz w:val="22"/>
        </w:rPr>
        <w:t>在服务连续性及可用性方面，</w:t>
      </w:r>
      <w:r>
        <w:rPr>
          <w:rFonts w:hint="eastAsia" w:ascii="宋体;SimSun" w:hAnsi="宋体;SimSun" w:cs="Calibri"/>
          <w:kern w:val="0"/>
          <w:sz w:val="22"/>
        </w:rPr>
        <w:t>投标人</w:t>
      </w:r>
      <w:r>
        <w:rPr>
          <w:rFonts w:ascii="宋体;SimSun" w:hAnsi="宋体;SimSun" w:cs="Calibri"/>
          <w:kern w:val="0"/>
          <w:sz w:val="22"/>
        </w:rPr>
        <w:t>做到以下要求：</w:t>
      </w:r>
    </w:p>
    <w:p>
      <w:pPr>
        <w:snapToGrid w:val="0"/>
        <w:spacing w:line="360" w:lineRule="exact"/>
        <w:ind w:firstLine="440"/>
      </w:pPr>
      <w:r>
        <w:rPr>
          <w:rFonts w:ascii="宋体;SimSun" w:hAnsi="宋体;SimSun" w:cs="宋体;SimSun"/>
          <w:kern w:val="0"/>
          <w:sz w:val="22"/>
        </w:rPr>
        <w:t>1</w:t>
      </w:r>
      <w:r>
        <w:rPr>
          <w:rFonts w:ascii="宋体;SimSun" w:hAnsi="宋体;SimSun" w:cs="Calibri"/>
          <w:kern w:val="0"/>
          <w:sz w:val="22"/>
        </w:rPr>
        <w:t>、保证服务期内的服务连续性和可用性；</w:t>
      </w:r>
    </w:p>
    <w:p>
      <w:pPr>
        <w:snapToGrid w:val="0"/>
        <w:spacing w:line="360" w:lineRule="exact"/>
        <w:ind w:firstLine="440"/>
      </w:pPr>
      <w:r>
        <w:rPr>
          <w:rFonts w:ascii="宋体;SimSun" w:hAnsi="宋体;SimSun" w:cs="宋体;SimSun"/>
          <w:kern w:val="0"/>
          <w:sz w:val="22"/>
        </w:rPr>
        <w:t>2</w:t>
      </w:r>
      <w:r>
        <w:rPr>
          <w:rFonts w:ascii="宋体;SimSun" w:hAnsi="宋体;SimSun" w:cs="Calibri"/>
          <w:kern w:val="0"/>
          <w:sz w:val="22"/>
        </w:rPr>
        <w:t>、保证服务中断最长时间低于</w:t>
      </w:r>
      <w:r>
        <w:rPr>
          <w:rFonts w:ascii="宋体;SimSun" w:hAnsi="宋体;SimSun" w:cs="宋体;SimSun"/>
          <w:kern w:val="0"/>
          <w:sz w:val="22"/>
        </w:rPr>
        <w:t>60</w:t>
      </w:r>
      <w:r>
        <w:rPr>
          <w:rFonts w:ascii="宋体;SimSun" w:hAnsi="宋体;SimSun" w:cs="Calibri"/>
          <w:kern w:val="0"/>
          <w:sz w:val="22"/>
        </w:rPr>
        <w:t>分钟（不可抗力情况除外）。</w:t>
      </w:r>
    </w:p>
    <w:p>
      <w:pPr>
        <w:snapToGrid w:val="0"/>
        <w:spacing w:line="360" w:lineRule="exact"/>
        <w:ind w:firstLine="442" w:firstLineChars="200"/>
        <w:rPr>
          <w:rFonts w:hint="eastAsia" w:ascii="宋体;SimSun" w:hAnsi="宋体;SimSun" w:cs="Calibri"/>
          <w:b/>
          <w:bCs/>
          <w:kern w:val="0"/>
          <w:sz w:val="22"/>
        </w:rPr>
      </w:pPr>
      <w:r>
        <w:rPr>
          <w:rFonts w:ascii="宋体;SimSun" w:hAnsi="宋体;SimSun" w:cs="Calibri"/>
          <w:b/>
          <w:bCs/>
          <w:kern w:val="0"/>
          <w:sz w:val="22"/>
        </w:rPr>
        <w:t>七、数据安全性</w:t>
      </w:r>
    </w:p>
    <w:p>
      <w:pPr>
        <w:snapToGrid w:val="0"/>
        <w:spacing w:line="360" w:lineRule="exact"/>
        <w:ind w:firstLine="440" w:firstLineChars="200"/>
        <w:rPr>
          <w:rFonts w:hint="eastAsia" w:ascii="宋体;SimSun" w:hAnsi="宋体;SimSun" w:cs="Calibri"/>
          <w:kern w:val="0"/>
          <w:sz w:val="22"/>
        </w:rPr>
      </w:pPr>
      <w:r>
        <w:rPr>
          <w:rFonts w:ascii="宋体;SimSun" w:hAnsi="宋体;SimSun" w:cs="Calibri"/>
          <w:kern w:val="0"/>
          <w:sz w:val="22"/>
        </w:rPr>
        <w:t>在数据安全性方面，</w:t>
      </w:r>
      <w:r>
        <w:rPr>
          <w:rFonts w:hint="eastAsia" w:ascii="宋体;SimSun" w:hAnsi="宋体;SimSun" w:cs="Calibri"/>
          <w:kern w:val="0"/>
          <w:sz w:val="22"/>
        </w:rPr>
        <w:t>投标人</w:t>
      </w:r>
      <w:r>
        <w:rPr>
          <w:rFonts w:ascii="宋体;SimSun" w:hAnsi="宋体;SimSun" w:cs="Calibri"/>
          <w:kern w:val="0"/>
          <w:sz w:val="22"/>
        </w:rPr>
        <w:t>做到以下要求：</w:t>
      </w:r>
    </w:p>
    <w:p>
      <w:pPr>
        <w:snapToGrid w:val="0"/>
        <w:spacing w:line="360" w:lineRule="exact"/>
        <w:ind w:firstLine="440" w:firstLineChars="200"/>
      </w:pPr>
      <w:r>
        <w:rPr>
          <w:rFonts w:ascii="宋体;SimSun" w:hAnsi="宋体;SimSun" w:cs="宋体;SimSun"/>
          <w:kern w:val="0"/>
          <w:sz w:val="22"/>
        </w:rPr>
        <w:t>1</w:t>
      </w:r>
      <w:r>
        <w:rPr>
          <w:rFonts w:ascii="宋体;SimSun" w:hAnsi="宋体;SimSun" w:cs="Calibri"/>
          <w:kern w:val="0"/>
          <w:sz w:val="22"/>
        </w:rPr>
        <w:t>、保证不泄漏</w:t>
      </w:r>
      <w:r>
        <w:rPr>
          <w:rFonts w:hint="eastAsia" w:ascii="宋体;SimSun" w:hAnsi="宋体;SimSun" w:cs="Calibri"/>
          <w:kern w:val="0"/>
          <w:sz w:val="22"/>
        </w:rPr>
        <w:t>招标人</w:t>
      </w:r>
      <w:r>
        <w:rPr>
          <w:rFonts w:ascii="宋体;SimSun" w:hAnsi="宋体;SimSun" w:cs="Calibri"/>
          <w:kern w:val="0"/>
          <w:sz w:val="22"/>
        </w:rPr>
        <w:t>的所有数据，包括用户资料、车辆信息、位置、轨迹、状态以及和车辆相关的其他业务信息；</w:t>
      </w:r>
    </w:p>
    <w:p>
      <w:pPr>
        <w:snapToGrid w:val="0"/>
        <w:spacing w:line="360" w:lineRule="exact"/>
        <w:ind w:firstLine="440" w:firstLineChars="200"/>
      </w:pPr>
      <w:r>
        <w:rPr>
          <w:rFonts w:ascii="宋体;SimSun" w:hAnsi="宋体;SimSun" w:cs="宋体;SimSun"/>
          <w:kern w:val="0"/>
          <w:sz w:val="22"/>
        </w:rPr>
        <w:t>2</w:t>
      </w:r>
      <w:r>
        <w:rPr>
          <w:rFonts w:ascii="宋体;SimSun" w:hAnsi="宋体;SimSun" w:cs="Calibri"/>
          <w:kern w:val="0"/>
          <w:sz w:val="22"/>
        </w:rPr>
        <w:t>、保证不任意篡改用户的数据，包括车辆位置、状态、轨迹、日志等；</w:t>
      </w:r>
    </w:p>
    <w:p>
      <w:pPr>
        <w:snapToGrid w:val="0"/>
        <w:spacing w:line="360" w:lineRule="exact"/>
        <w:ind w:firstLine="440" w:firstLineChars="200"/>
      </w:pPr>
      <w:r>
        <w:rPr>
          <w:rFonts w:ascii="宋体;SimSun" w:hAnsi="宋体;SimSun" w:cs="宋体;SimSun"/>
          <w:kern w:val="0"/>
          <w:sz w:val="22"/>
        </w:rPr>
        <w:t>3</w:t>
      </w:r>
      <w:r>
        <w:rPr>
          <w:rFonts w:ascii="宋体;SimSun" w:hAnsi="宋体;SimSun" w:cs="Calibri"/>
          <w:kern w:val="0"/>
          <w:sz w:val="22"/>
        </w:rPr>
        <w:t>、保证系统平台在升级期间服务使用者的数据不丢失。</w:t>
      </w:r>
    </w:p>
    <w:p>
      <w:pPr>
        <w:snapToGrid w:val="0"/>
        <w:spacing w:line="360" w:lineRule="exact"/>
        <w:ind w:firstLine="442" w:firstLineChars="200"/>
        <w:rPr>
          <w:rFonts w:hint="eastAsia" w:ascii="宋体;SimSun" w:hAnsi="宋体;SimSun" w:cs="Calibri"/>
          <w:b/>
          <w:bCs/>
          <w:kern w:val="0"/>
          <w:sz w:val="22"/>
        </w:rPr>
      </w:pPr>
      <w:r>
        <w:rPr>
          <w:rFonts w:ascii="宋体;SimSun" w:hAnsi="宋体;SimSun" w:cs="Calibri"/>
          <w:b/>
          <w:bCs/>
          <w:kern w:val="0"/>
          <w:sz w:val="22"/>
        </w:rPr>
        <w:t>八、数据备份和恢复</w:t>
      </w:r>
    </w:p>
    <w:p>
      <w:pPr>
        <w:snapToGrid w:val="0"/>
        <w:spacing w:line="360" w:lineRule="exact"/>
        <w:ind w:firstLine="440" w:firstLineChars="200"/>
        <w:rPr>
          <w:rFonts w:hint="eastAsia" w:ascii="宋体;SimSun" w:hAnsi="宋体;SimSun" w:cs="Calibri"/>
          <w:kern w:val="0"/>
          <w:sz w:val="22"/>
        </w:rPr>
      </w:pPr>
      <w:r>
        <w:rPr>
          <w:rFonts w:ascii="宋体;SimSun" w:hAnsi="宋体;SimSun" w:cs="Calibri"/>
          <w:kern w:val="0"/>
          <w:sz w:val="22"/>
        </w:rPr>
        <w:t>在数据备份和恢复方面，</w:t>
      </w:r>
      <w:r>
        <w:rPr>
          <w:rFonts w:hint="eastAsia" w:ascii="宋体;SimSun" w:hAnsi="宋体;SimSun" w:cs="Calibri"/>
          <w:kern w:val="0"/>
          <w:sz w:val="22"/>
        </w:rPr>
        <w:t>投标人</w:t>
      </w:r>
      <w:r>
        <w:rPr>
          <w:rFonts w:ascii="宋体;SimSun" w:hAnsi="宋体;SimSun" w:cs="Calibri"/>
          <w:kern w:val="0"/>
          <w:sz w:val="22"/>
        </w:rPr>
        <w:t>做到以下要求：</w:t>
      </w:r>
    </w:p>
    <w:p>
      <w:pPr>
        <w:snapToGrid w:val="0"/>
        <w:spacing w:line="360" w:lineRule="exact"/>
        <w:ind w:firstLine="440" w:firstLineChars="200"/>
      </w:pPr>
      <w:r>
        <w:rPr>
          <w:rFonts w:ascii="宋体;SimSun" w:hAnsi="宋体;SimSun" w:cs="宋体;SimSun"/>
          <w:kern w:val="0"/>
          <w:sz w:val="22"/>
        </w:rPr>
        <w:t>1</w:t>
      </w:r>
      <w:r>
        <w:rPr>
          <w:rFonts w:ascii="宋体;SimSun" w:hAnsi="宋体;SimSun" w:cs="Calibri"/>
          <w:kern w:val="0"/>
          <w:sz w:val="22"/>
        </w:rPr>
        <w:t>、保证对</w:t>
      </w:r>
      <w:r>
        <w:rPr>
          <w:rFonts w:hint="eastAsia" w:ascii="宋体;SimSun" w:hAnsi="宋体;SimSun" w:cs="Calibri"/>
          <w:kern w:val="0"/>
          <w:sz w:val="22"/>
        </w:rPr>
        <w:t>招标人</w:t>
      </w:r>
      <w:r>
        <w:rPr>
          <w:rFonts w:ascii="宋体;SimSun" w:hAnsi="宋体;SimSun" w:cs="Calibri"/>
          <w:kern w:val="0"/>
          <w:sz w:val="22"/>
        </w:rPr>
        <w:t>的数据进行定期备份；</w:t>
      </w:r>
    </w:p>
    <w:p>
      <w:pPr>
        <w:snapToGrid w:val="0"/>
        <w:spacing w:line="360" w:lineRule="exact"/>
        <w:ind w:firstLine="440" w:firstLineChars="200"/>
      </w:pPr>
      <w:r>
        <w:rPr>
          <w:rFonts w:ascii="宋体;SimSun" w:hAnsi="宋体;SimSun" w:cs="宋体;SimSun"/>
          <w:kern w:val="0"/>
          <w:sz w:val="22"/>
        </w:rPr>
        <w:t>2</w:t>
      </w:r>
      <w:r>
        <w:rPr>
          <w:rFonts w:ascii="宋体;SimSun" w:hAnsi="宋体;SimSun" w:cs="Calibri"/>
          <w:kern w:val="0"/>
          <w:sz w:val="22"/>
        </w:rPr>
        <w:t>、保证提供服务期内六个月内的用户数据的恢复服务；</w:t>
      </w:r>
    </w:p>
    <w:p>
      <w:pPr>
        <w:snapToGrid w:val="0"/>
        <w:spacing w:line="360" w:lineRule="exact"/>
        <w:ind w:firstLine="440" w:firstLineChars="200"/>
      </w:pPr>
      <w:r>
        <w:rPr>
          <w:rFonts w:ascii="宋体;SimSun" w:hAnsi="宋体;SimSun" w:cs="宋体;SimSun"/>
          <w:kern w:val="0"/>
          <w:sz w:val="22"/>
        </w:rPr>
        <w:t>3</w:t>
      </w:r>
      <w:r>
        <w:rPr>
          <w:rFonts w:ascii="宋体;SimSun" w:hAnsi="宋体;SimSun" w:cs="Calibri"/>
          <w:kern w:val="0"/>
          <w:sz w:val="22"/>
        </w:rPr>
        <w:t>、保证在服务期内，在</w:t>
      </w:r>
      <w:r>
        <w:rPr>
          <w:rFonts w:hint="eastAsia" w:ascii="宋体;SimSun" w:hAnsi="宋体;SimSun" w:cs="Calibri"/>
          <w:kern w:val="0"/>
          <w:sz w:val="22"/>
        </w:rPr>
        <w:t>招标人</w:t>
      </w:r>
      <w:r>
        <w:rPr>
          <w:rFonts w:ascii="宋体;SimSun" w:hAnsi="宋体;SimSun" w:cs="Calibri"/>
          <w:kern w:val="0"/>
          <w:sz w:val="22"/>
        </w:rPr>
        <w:t>的要求下，提供指定范围或者全部的相关业务数据的导出服务。</w:t>
      </w:r>
    </w:p>
    <w:p>
      <w:pPr>
        <w:snapToGrid w:val="0"/>
        <w:spacing w:line="360" w:lineRule="exact"/>
        <w:ind w:firstLine="442" w:firstLineChars="200"/>
        <w:rPr>
          <w:rFonts w:hint="eastAsia" w:ascii="宋体;SimSun" w:hAnsi="宋体;SimSun" w:cs="Calibri"/>
          <w:b/>
          <w:bCs/>
          <w:kern w:val="0"/>
          <w:sz w:val="22"/>
        </w:rPr>
      </w:pPr>
      <w:r>
        <w:rPr>
          <w:rFonts w:ascii="宋体;SimSun" w:hAnsi="宋体;SimSun" w:cs="Calibri"/>
          <w:b/>
          <w:bCs/>
          <w:kern w:val="0"/>
          <w:sz w:val="22"/>
        </w:rPr>
        <w:t>九、服务维护</w:t>
      </w:r>
    </w:p>
    <w:p>
      <w:pPr>
        <w:snapToGrid w:val="0"/>
        <w:spacing w:line="360" w:lineRule="exact"/>
        <w:ind w:firstLine="440" w:firstLineChars="200"/>
        <w:rPr>
          <w:rFonts w:hint="eastAsia" w:ascii="宋体;SimSun" w:hAnsi="宋体;SimSun" w:cs="Calibri"/>
          <w:kern w:val="0"/>
          <w:sz w:val="22"/>
        </w:rPr>
      </w:pPr>
      <w:r>
        <w:rPr>
          <w:rFonts w:ascii="宋体;SimSun" w:hAnsi="宋体;SimSun" w:cs="Calibri"/>
          <w:kern w:val="0"/>
          <w:sz w:val="22"/>
        </w:rPr>
        <w:t>在服务维护方面，</w:t>
      </w:r>
      <w:r>
        <w:rPr>
          <w:rFonts w:hint="eastAsia" w:ascii="宋体;SimSun" w:hAnsi="宋体;SimSun" w:cs="Calibri"/>
          <w:kern w:val="0"/>
          <w:sz w:val="22"/>
        </w:rPr>
        <w:t>投标人</w:t>
      </w:r>
      <w:r>
        <w:rPr>
          <w:rFonts w:ascii="宋体;SimSun" w:hAnsi="宋体;SimSun" w:cs="Calibri"/>
          <w:kern w:val="0"/>
          <w:sz w:val="22"/>
        </w:rPr>
        <w:t>做到以下要求：</w:t>
      </w:r>
    </w:p>
    <w:p>
      <w:pPr>
        <w:snapToGrid w:val="0"/>
        <w:spacing w:line="360" w:lineRule="exact"/>
        <w:ind w:firstLine="440" w:firstLineChars="200"/>
      </w:pPr>
      <w:r>
        <w:rPr>
          <w:rFonts w:ascii="宋体;SimSun" w:hAnsi="宋体;SimSun" w:cs="宋体;SimSun"/>
          <w:kern w:val="0"/>
          <w:sz w:val="22"/>
        </w:rPr>
        <w:t>1</w:t>
      </w:r>
      <w:r>
        <w:rPr>
          <w:rFonts w:ascii="宋体;SimSun" w:hAnsi="宋体;SimSun" w:cs="Calibri"/>
          <w:kern w:val="0"/>
          <w:sz w:val="22"/>
        </w:rPr>
        <w:t>、 保证对服务器以及服务进行持续地、定期巡检活动（服务器负荷、磁盘空间、网络吐出情况等），已确保服务健康稳定；</w:t>
      </w:r>
    </w:p>
    <w:p>
      <w:pPr>
        <w:snapToGrid w:val="0"/>
        <w:spacing w:line="360" w:lineRule="exact"/>
        <w:ind w:firstLine="440" w:firstLineChars="200"/>
      </w:pPr>
      <w:r>
        <w:rPr>
          <w:rFonts w:ascii="宋体;SimSun" w:hAnsi="宋体;SimSun" w:cs="宋体;SimSun"/>
          <w:kern w:val="0"/>
          <w:sz w:val="22"/>
        </w:rPr>
        <w:t>2</w:t>
      </w:r>
      <w:r>
        <w:rPr>
          <w:rFonts w:ascii="宋体;SimSun" w:hAnsi="宋体;SimSun" w:cs="Calibri"/>
          <w:kern w:val="0"/>
          <w:sz w:val="22"/>
        </w:rPr>
        <w:t>、 在服务因电信运营商进行服务割接时（网络、设备、电力供给等原因会要求服务中断），提前三天告知服务使用者；</w:t>
      </w:r>
    </w:p>
    <w:p>
      <w:pPr>
        <w:snapToGrid w:val="0"/>
        <w:spacing w:line="360" w:lineRule="exact"/>
        <w:ind w:firstLine="440" w:firstLineChars="200"/>
      </w:pPr>
      <w:r>
        <w:rPr>
          <w:rFonts w:ascii="宋体;SimSun" w:hAnsi="宋体;SimSun" w:cs="宋体;SimSun"/>
          <w:kern w:val="0"/>
          <w:sz w:val="22"/>
        </w:rPr>
        <w:t>3</w:t>
      </w:r>
      <w:r>
        <w:rPr>
          <w:rFonts w:ascii="宋体;SimSun" w:hAnsi="宋体;SimSun" w:cs="Calibri"/>
          <w:kern w:val="0"/>
          <w:sz w:val="22"/>
        </w:rPr>
        <w:t>、 定期对服务使用者进行现场或者电话、邮件等方式的交流，以发现用户在使用中的问题后进行改进；</w:t>
      </w:r>
    </w:p>
    <w:p>
      <w:pPr>
        <w:snapToGrid w:val="0"/>
        <w:spacing w:line="360" w:lineRule="exact"/>
        <w:ind w:firstLine="440" w:firstLineChars="200"/>
        <w:rPr>
          <w:rFonts w:hint="eastAsia" w:ascii="宋体;SimSun" w:hAnsi="宋体;SimSun" w:cs="Calibri"/>
          <w:kern w:val="0"/>
          <w:sz w:val="22"/>
        </w:rPr>
      </w:pPr>
      <w:r>
        <w:rPr>
          <w:rFonts w:ascii="宋体;SimSun" w:hAnsi="宋体;SimSun" w:cs="宋体;SimSun"/>
          <w:kern w:val="0"/>
          <w:sz w:val="22"/>
        </w:rPr>
        <w:t>4</w:t>
      </w:r>
      <w:r>
        <w:rPr>
          <w:rFonts w:ascii="宋体;SimSun" w:hAnsi="宋体;SimSun" w:cs="Calibri"/>
          <w:kern w:val="0"/>
          <w:sz w:val="22"/>
        </w:rPr>
        <w:t>、 保证对服务使用者提出的疑问进行解答，对服务使用者提出的问题，经确认后的问题进行最短时间内的修正（</w:t>
      </w:r>
      <w:r>
        <w:rPr>
          <w:rFonts w:ascii="宋体;SimSun" w:hAnsi="宋体;SimSun" w:cs="宋体;SimSun"/>
          <w:kern w:val="0"/>
          <w:sz w:val="22"/>
        </w:rPr>
        <w:t>3</w:t>
      </w:r>
      <w:r>
        <w:rPr>
          <w:rFonts w:ascii="宋体;SimSun" w:hAnsi="宋体;SimSun" w:cs="Calibri"/>
          <w:kern w:val="0"/>
          <w:sz w:val="22"/>
        </w:rPr>
        <w:t>天内完成）。</w:t>
      </w:r>
    </w:p>
    <w:p>
      <w:pPr>
        <w:snapToGrid w:val="0"/>
        <w:spacing w:line="360" w:lineRule="exact"/>
        <w:ind w:firstLine="420" w:firstLineChars="200"/>
      </w:pPr>
      <w:r>
        <w:rPr>
          <w:rFonts w:hint="eastAsia"/>
        </w:rPr>
        <w:t>5、服务期内，根据招标人使用软件时所遇到的问题，为招标人提供三类服务方式：远程服务，软件升级服务及上门服务。</w:t>
      </w:r>
    </w:p>
    <w:p>
      <w:pPr>
        <w:snapToGrid w:val="0"/>
        <w:spacing w:line="360" w:lineRule="exact"/>
        <w:ind w:firstLine="420" w:firstLineChars="200"/>
      </w:pPr>
      <w:r>
        <w:rPr>
          <w:rFonts w:hint="eastAsia"/>
        </w:rPr>
        <w:t>6、服务期内，若软件自身的问题导致发生故障，由投标人免费维修。</w:t>
      </w:r>
    </w:p>
    <w:p>
      <w:pPr>
        <w:snapToGrid w:val="0"/>
        <w:spacing w:line="360" w:lineRule="exact"/>
        <w:ind w:firstLine="420" w:firstLineChars="200"/>
      </w:pPr>
      <w:r>
        <w:rPr>
          <w:rFonts w:hint="eastAsia"/>
        </w:rPr>
        <w:t>7、设置专人负责接听用户问题反馈，并于1个日历日内给予初步反馈。提供全天候24小时远程技术支持，在接到报修后15分钟内接入系统，进行故障诊断和技术支持，直到故障解决。若设备、系统发生重大故障，必须在招标人指定的时限内调派技术人员至现场进行处理故障。</w:t>
      </w:r>
    </w:p>
    <w:p>
      <w:pPr>
        <w:snapToGrid w:val="0"/>
        <w:spacing w:line="360" w:lineRule="exact"/>
        <w:ind w:firstLine="442" w:firstLineChars="200"/>
        <w:rPr>
          <w:rFonts w:hint="eastAsia" w:ascii="宋体;SimSun" w:hAnsi="宋体;SimSun" w:cs="Calibri"/>
          <w:b/>
          <w:bCs/>
          <w:kern w:val="0"/>
          <w:sz w:val="22"/>
        </w:rPr>
      </w:pPr>
      <w:r>
        <w:rPr>
          <w:rFonts w:ascii="宋体;SimSun" w:hAnsi="宋体;SimSun" w:cs="Calibri"/>
          <w:b/>
          <w:bCs/>
          <w:kern w:val="0"/>
          <w:sz w:val="22"/>
        </w:rPr>
        <w:t>十、授权管理</w:t>
      </w:r>
    </w:p>
    <w:p>
      <w:pPr>
        <w:snapToGrid w:val="0"/>
        <w:spacing w:line="360" w:lineRule="exact"/>
        <w:ind w:firstLine="440" w:firstLineChars="200"/>
        <w:rPr>
          <w:rFonts w:hint="eastAsia" w:ascii="宋体;SimSun" w:hAnsi="宋体;SimSun" w:cs="Calibri"/>
          <w:kern w:val="0"/>
          <w:sz w:val="22"/>
        </w:rPr>
      </w:pPr>
      <w:r>
        <w:rPr>
          <w:rFonts w:ascii="宋体;SimSun" w:hAnsi="宋体;SimSun" w:cs="Calibri"/>
          <w:kern w:val="0"/>
          <w:sz w:val="22"/>
        </w:rPr>
        <w:t>服务期间，</w:t>
      </w:r>
      <w:r>
        <w:rPr>
          <w:rFonts w:hint="eastAsia" w:ascii="宋体;SimSun" w:hAnsi="宋体;SimSun" w:cs="Calibri"/>
          <w:kern w:val="0"/>
          <w:sz w:val="22"/>
        </w:rPr>
        <w:t>招标人</w:t>
      </w:r>
      <w:r>
        <w:rPr>
          <w:rFonts w:ascii="宋体;SimSun" w:hAnsi="宋体;SimSun" w:cs="Calibri"/>
          <w:kern w:val="0"/>
          <w:sz w:val="22"/>
        </w:rPr>
        <w:t>设立系统管理员，</w:t>
      </w:r>
      <w:r>
        <w:rPr>
          <w:rFonts w:hint="eastAsia" w:ascii="宋体;SimSun" w:hAnsi="宋体;SimSun" w:cs="Calibri"/>
          <w:kern w:val="0"/>
          <w:sz w:val="22"/>
        </w:rPr>
        <w:t>投标人</w:t>
      </w:r>
      <w:r>
        <w:rPr>
          <w:rFonts w:ascii="宋体;SimSun" w:hAnsi="宋体;SimSun" w:cs="Calibri"/>
          <w:kern w:val="0"/>
          <w:sz w:val="22"/>
        </w:rPr>
        <w:t>设立服务专员，任何一方的相关人员变化，均要有变化方主管领导的书面确认函，供另一方备案。</w:t>
      </w:r>
    </w:p>
    <w:p>
      <w:pPr>
        <w:snapToGrid w:val="0"/>
        <w:spacing w:line="360" w:lineRule="exact"/>
        <w:ind w:firstLine="440" w:firstLineChars="200"/>
        <w:rPr>
          <w:rFonts w:hint="eastAsia" w:ascii="宋体;SimSun" w:hAnsi="宋体;SimSun" w:cs="Calibri"/>
          <w:kern w:val="0"/>
          <w:sz w:val="22"/>
        </w:rPr>
      </w:pPr>
      <w:r>
        <w:rPr>
          <w:rFonts w:hint="eastAsia" w:ascii="宋体;SimSun" w:hAnsi="宋体;SimSun" w:cs="Calibri"/>
          <w:kern w:val="0"/>
          <w:sz w:val="22"/>
        </w:rPr>
        <w:t>招标人</w:t>
      </w:r>
      <w:r>
        <w:rPr>
          <w:rFonts w:ascii="宋体;SimSun" w:hAnsi="宋体;SimSun" w:cs="Calibri"/>
          <w:kern w:val="0"/>
          <w:sz w:val="22"/>
        </w:rPr>
        <w:t>的系统管理员有权提出变更账号、设备信息、车辆信息等需要投标人配合完成的工作。以及对服务质量、出现的问题提出质疑。</w:t>
      </w:r>
    </w:p>
    <w:p>
      <w:pPr>
        <w:snapToGrid w:val="0"/>
        <w:spacing w:line="360" w:lineRule="exact"/>
        <w:ind w:firstLine="440" w:firstLineChars="200"/>
        <w:rPr>
          <w:rFonts w:hint="eastAsia" w:ascii="宋体;SimSun" w:hAnsi="宋体;SimSun" w:cs="Calibri"/>
          <w:kern w:val="0"/>
          <w:sz w:val="22"/>
        </w:rPr>
      </w:pPr>
      <w:r>
        <w:rPr>
          <w:rFonts w:hint="eastAsia" w:ascii="宋体;SimSun" w:hAnsi="宋体;SimSun" w:cs="Calibri"/>
          <w:kern w:val="0"/>
          <w:sz w:val="22"/>
        </w:rPr>
        <w:t>投标人</w:t>
      </w:r>
      <w:r>
        <w:rPr>
          <w:rFonts w:ascii="宋体;SimSun" w:hAnsi="宋体;SimSun" w:cs="Calibri"/>
          <w:kern w:val="0"/>
          <w:sz w:val="22"/>
        </w:rPr>
        <w:t>服务专员响应招标人系统管理员提出的问题，协调投标人内部相关人员及时处理。</w:t>
      </w:r>
    </w:p>
    <w:p>
      <w:pPr>
        <w:snapToGrid w:val="0"/>
        <w:spacing w:line="360" w:lineRule="exact"/>
        <w:ind w:firstLine="442" w:firstLineChars="200"/>
        <w:rPr>
          <w:rFonts w:hint="eastAsia" w:ascii="宋体;SimSun" w:hAnsi="宋体;SimSun" w:cs="Calibri"/>
          <w:b/>
          <w:bCs/>
          <w:kern w:val="0"/>
          <w:sz w:val="22"/>
        </w:rPr>
      </w:pPr>
      <w:r>
        <w:rPr>
          <w:rFonts w:ascii="宋体;SimSun" w:hAnsi="宋体;SimSun" w:cs="Calibri"/>
          <w:b/>
          <w:bCs/>
          <w:kern w:val="0"/>
          <w:sz w:val="22"/>
        </w:rPr>
        <w:t>十一、服务对象内容变更</w:t>
      </w:r>
    </w:p>
    <w:p>
      <w:pPr>
        <w:widowControl/>
        <w:spacing w:line="360" w:lineRule="exact"/>
        <w:ind w:firstLine="440" w:firstLineChars="200"/>
        <w:jc w:val="left"/>
        <w:rPr>
          <w:rFonts w:hint="eastAsia" w:ascii="宋体;SimSun" w:hAnsi="宋体;SimSun" w:cs="Calibri"/>
          <w:kern w:val="0"/>
          <w:sz w:val="22"/>
        </w:rPr>
      </w:pPr>
      <w:r>
        <w:rPr>
          <w:rFonts w:ascii="宋体;SimSun" w:hAnsi="宋体;SimSun" w:cs="Calibri"/>
          <w:kern w:val="0"/>
          <w:sz w:val="22"/>
        </w:rPr>
        <w:t>服务期间，如发生设备迁移，诸如：车辆更新、号牌变化等影响到数据一致性的情形时，</w:t>
      </w:r>
      <w:r>
        <w:rPr>
          <w:rFonts w:hint="eastAsia" w:ascii="宋体;SimSun" w:hAnsi="宋体;SimSun" w:cs="Calibri"/>
          <w:kern w:val="0"/>
          <w:sz w:val="22"/>
        </w:rPr>
        <w:t>招标人</w:t>
      </w:r>
      <w:r>
        <w:rPr>
          <w:rFonts w:ascii="宋体;SimSun" w:hAnsi="宋体;SimSun" w:cs="Calibri"/>
          <w:kern w:val="0"/>
          <w:sz w:val="22"/>
        </w:rPr>
        <w:t>系统管理员以书面形式或</w:t>
      </w:r>
      <w:r>
        <w:rPr>
          <w:rFonts w:hint="eastAsia" w:ascii="宋体;SimSun" w:hAnsi="宋体;SimSun" w:cs="Calibri"/>
          <w:kern w:val="0"/>
          <w:sz w:val="22"/>
        </w:rPr>
        <w:t>电话</w:t>
      </w:r>
      <w:r>
        <w:rPr>
          <w:rFonts w:ascii="宋体;SimSun" w:hAnsi="宋体;SimSun" w:cs="Calibri"/>
          <w:kern w:val="0"/>
          <w:sz w:val="22"/>
        </w:rPr>
        <w:t>通知</w:t>
      </w:r>
      <w:r>
        <w:rPr>
          <w:rFonts w:hint="eastAsia" w:ascii="宋体;SimSun" w:hAnsi="宋体;SimSun" w:cs="Calibri"/>
          <w:kern w:val="0"/>
          <w:sz w:val="22"/>
        </w:rPr>
        <w:t>投标人</w:t>
      </w:r>
      <w:r>
        <w:rPr>
          <w:rFonts w:ascii="宋体;SimSun" w:hAnsi="宋体;SimSun" w:cs="Calibri"/>
          <w:kern w:val="0"/>
          <w:sz w:val="22"/>
        </w:rPr>
        <w:t>服务专员，由服务专员及时响应，安排</w:t>
      </w:r>
      <w:r>
        <w:rPr>
          <w:rFonts w:hint="eastAsia" w:ascii="宋体;SimSun" w:hAnsi="宋体;SimSun" w:cs="Calibri"/>
          <w:kern w:val="0"/>
          <w:sz w:val="22"/>
        </w:rPr>
        <w:t>投标人</w:t>
      </w:r>
      <w:r>
        <w:rPr>
          <w:rFonts w:ascii="宋体;SimSun" w:hAnsi="宋体;SimSun" w:cs="Calibri"/>
          <w:kern w:val="0"/>
          <w:sz w:val="22"/>
        </w:rPr>
        <w:t>技术人员配合进行后台数据的变更</w:t>
      </w:r>
      <w:r>
        <w:rPr>
          <w:rFonts w:hint="eastAsia" w:ascii="宋体;SimSun" w:hAnsi="宋体;SimSun" w:cs="Calibri"/>
          <w:kern w:val="0"/>
          <w:sz w:val="22"/>
        </w:rPr>
        <w:t>。</w:t>
      </w:r>
    </w:p>
    <w:p>
      <w:pPr>
        <w:widowControl/>
        <w:spacing w:line="360" w:lineRule="exact"/>
        <w:ind w:firstLine="440" w:firstLineChars="200"/>
        <w:jc w:val="center"/>
        <w:rPr>
          <w:rFonts w:eastAsia="黑体" w:cs="Calibri"/>
          <w:kern w:val="0"/>
          <w:sz w:val="32"/>
        </w:rPr>
      </w:pPr>
      <w:r>
        <w:rPr>
          <w:rFonts w:hint="eastAsia" w:ascii="宋体;SimSun" w:hAnsi="宋体;SimSun" w:cs="Calibri"/>
          <w:kern w:val="0"/>
          <w:sz w:val="22"/>
        </w:rPr>
        <w:br w:type="page"/>
      </w:r>
      <w:bookmarkStart w:id="113" w:name="_Toc448002986"/>
      <w:r>
        <w:rPr>
          <w:rFonts w:hint="eastAsia" w:eastAsia="黑体" w:cs="Calibri"/>
          <w:kern w:val="0"/>
          <w:sz w:val="32"/>
        </w:rPr>
        <w:t xml:space="preserve">第四章  </w:t>
      </w:r>
      <w:r>
        <w:rPr>
          <w:rFonts w:eastAsia="黑体" w:cs="Calibri"/>
          <w:kern w:val="0"/>
          <w:sz w:val="32"/>
        </w:rPr>
        <w:t>合同条款</w:t>
      </w:r>
      <w:bookmarkEnd w:id="113"/>
    </w:p>
    <w:p>
      <w:pPr>
        <w:snapToGrid w:val="0"/>
        <w:spacing w:line="360" w:lineRule="exact"/>
        <w:ind w:firstLine="452"/>
        <w:jc w:val="left"/>
        <w:rPr>
          <w:rFonts w:hint="eastAsia" w:ascii="宋体;SimSun" w:hAnsi="宋体;SimSun" w:cs="宋体;SimSun"/>
          <w:b/>
          <w:sz w:val="22"/>
        </w:rPr>
      </w:pPr>
    </w:p>
    <w:p>
      <w:pPr>
        <w:snapToGrid w:val="0"/>
        <w:spacing w:line="360" w:lineRule="exact"/>
        <w:ind w:firstLine="452"/>
        <w:jc w:val="left"/>
        <w:rPr>
          <w:rFonts w:hint="eastAsia" w:ascii="宋体;SimSun" w:hAnsi="宋体;SimSun" w:cs="宋体;SimSun"/>
          <w:b/>
          <w:sz w:val="22"/>
        </w:rPr>
      </w:pPr>
      <w:r>
        <w:rPr>
          <w:rFonts w:ascii="宋体;SimSun" w:hAnsi="宋体;SimSun" w:cs="宋体;SimSun"/>
          <w:b/>
          <w:sz w:val="22"/>
        </w:rPr>
        <w:t>甲方：杭州萧山国际机场有限公司</w:t>
      </w:r>
    </w:p>
    <w:p>
      <w:pPr>
        <w:snapToGrid w:val="0"/>
        <w:spacing w:line="360" w:lineRule="exact"/>
        <w:ind w:firstLine="452"/>
        <w:jc w:val="left"/>
        <w:rPr>
          <w:rFonts w:hint="eastAsia" w:ascii="宋体;SimSun" w:hAnsi="宋体;SimSun" w:cs="宋体;SimSun"/>
          <w:b/>
          <w:sz w:val="22"/>
        </w:rPr>
      </w:pPr>
      <w:r>
        <w:rPr>
          <w:rFonts w:ascii="宋体;SimSun" w:hAnsi="宋体;SimSun" w:cs="宋体;SimSun"/>
          <w:b/>
          <w:sz w:val="22"/>
        </w:rPr>
        <w:t>住所地：杭州萧山国际机场内</w:t>
      </w:r>
    </w:p>
    <w:p>
      <w:pPr>
        <w:snapToGrid w:val="0"/>
        <w:spacing w:line="360" w:lineRule="exact"/>
        <w:ind w:firstLine="452"/>
        <w:jc w:val="left"/>
        <w:rPr>
          <w:rFonts w:hint="eastAsia" w:ascii="宋体;SimSun" w:hAnsi="宋体;SimSun" w:cs="宋体;SimSun"/>
          <w:b/>
          <w:sz w:val="22"/>
        </w:rPr>
      </w:pPr>
    </w:p>
    <w:p>
      <w:pPr>
        <w:snapToGrid w:val="0"/>
        <w:spacing w:line="360" w:lineRule="exact"/>
        <w:ind w:firstLine="452"/>
        <w:jc w:val="left"/>
        <w:rPr>
          <w:rFonts w:hint="eastAsia" w:ascii="宋体;SimSun" w:hAnsi="宋体;SimSun" w:cs="宋体;SimSun"/>
          <w:b/>
          <w:sz w:val="22"/>
        </w:rPr>
      </w:pPr>
      <w:r>
        <w:rPr>
          <w:rFonts w:ascii="宋体;SimSun" w:hAnsi="宋体;SimSun" w:cs="宋体;SimSun"/>
          <w:b/>
          <w:sz w:val="22"/>
        </w:rPr>
        <w:t>乙方：</w:t>
      </w:r>
    </w:p>
    <w:p>
      <w:pPr>
        <w:snapToGrid w:val="0"/>
        <w:spacing w:line="360" w:lineRule="exact"/>
        <w:ind w:firstLine="452"/>
        <w:jc w:val="left"/>
        <w:rPr>
          <w:rFonts w:hint="eastAsia" w:ascii="宋体;SimSun" w:hAnsi="宋体;SimSun" w:cs="宋体;SimSun"/>
          <w:b/>
          <w:sz w:val="22"/>
        </w:rPr>
      </w:pPr>
      <w:r>
        <w:rPr>
          <w:rFonts w:ascii="宋体;SimSun" w:hAnsi="宋体;SimSun" w:cs="宋体;SimSun"/>
          <w:b/>
          <w:sz w:val="22"/>
        </w:rPr>
        <w:t>住所地：</w:t>
      </w:r>
    </w:p>
    <w:p>
      <w:pPr>
        <w:snapToGrid w:val="0"/>
        <w:spacing w:line="360" w:lineRule="exact"/>
        <w:ind w:firstLine="450"/>
        <w:jc w:val="left"/>
        <w:rPr>
          <w:rFonts w:hint="eastAsia" w:ascii="宋体;SimSun" w:hAnsi="宋体;SimSun" w:cs="宋体;SimSun"/>
          <w:sz w:val="22"/>
        </w:rPr>
      </w:pPr>
    </w:p>
    <w:p>
      <w:pPr>
        <w:pStyle w:val="126"/>
        <w:spacing w:line="360" w:lineRule="exact"/>
        <w:ind w:firstLine="440"/>
        <w:jc w:val="left"/>
        <w:rPr>
          <w:rFonts w:hint="eastAsia" w:ascii="宋体;SimSun" w:hAnsi="宋体;SimSun" w:cs="宋体;SimSun"/>
          <w:sz w:val="22"/>
        </w:rPr>
      </w:pPr>
      <w:r>
        <w:rPr>
          <w:rFonts w:hint="eastAsia" w:ascii="宋体;SimSun" w:hAnsi="宋体;SimSun" w:cs="宋体;SimSun"/>
          <w:sz w:val="22"/>
        </w:rPr>
        <w:t>甲、乙双方根据《中华人民共和国合同法》等相关法律法规，就相关事宜，在互利、平等的原则基础上，经协商一致，特签订本合同，以共同遵守。</w:t>
      </w:r>
    </w:p>
    <w:p>
      <w:pPr>
        <w:pStyle w:val="140"/>
        <w:spacing w:before="0" w:after="0" w:line="360" w:lineRule="exact"/>
        <w:ind w:firstLine="442"/>
        <w:jc w:val="both"/>
        <w:rPr>
          <w:rFonts w:ascii="宋体;SimSun" w:hAnsi="宋体;SimSun" w:eastAsia="宋体;SimSun" w:cs="宋体;SimSun"/>
          <w:b/>
          <w:caps/>
          <w:sz w:val="22"/>
          <w:szCs w:val="22"/>
        </w:rPr>
      </w:pPr>
      <w:r>
        <w:rPr>
          <w:rFonts w:ascii="宋体;SimSun" w:hAnsi="宋体;SimSun" w:eastAsia="宋体;SimSun" w:cs="宋体;SimSun"/>
          <w:b/>
          <w:caps/>
          <w:sz w:val="22"/>
          <w:szCs w:val="22"/>
        </w:rPr>
        <w:t>一、产品规格型号</w:t>
      </w:r>
    </w:p>
    <w:tbl>
      <w:tblPr>
        <w:tblStyle w:val="53"/>
        <w:tblW w:w="103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3"/>
        <w:gridCol w:w="2555"/>
        <w:gridCol w:w="2344"/>
        <w:gridCol w:w="1900"/>
        <w:gridCol w:w="1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2" w:hRule="atLeast"/>
          <w:jc w:val="center"/>
        </w:trPr>
        <w:tc>
          <w:tcPr>
            <w:tcW w:w="1683" w:type="dxa"/>
            <w:vAlign w:val="center"/>
          </w:tcPr>
          <w:p>
            <w:pPr>
              <w:pStyle w:val="139"/>
              <w:snapToGrid w:val="0"/>
              <w:jc w:val="center"/>
              <w:rPr>
                <w:rFonts w:ascii="宋体" w:hAnsi="宋体"/>
                <w:b/>
                <w:sz w:val="22"/>
              </w:rPr>
            </w:pPr>
            <w:r>
              <w:rPr>
                <w:rFonts w:hint="eastAsia" w:ascii="宋体" w:hAnsi="宋体"/>
                <w:b/>
                <w:sz w:val="22"/>
              </w:rPr>
              <w:t>序号</w:t>
            </w:r>
          </w:p>
        </w:tc>
        <w:tc>
          <w:tcPr>
            <w:tcW w:w="2555" w:type="dxa"/>
            <w:vAlign w:val="center"/>
          </w:tcPr>
          <w:p>
            <w:pPr>
              <w:pStyle w:val="139"/>
              <w:snapToGrid w:val="0"/>
              <w:jc w:val="center"/>
              <w:rPr>
                <w:rFonts w:ascii="宋体" w:hAnsi="宋体"/>
                <w:b/>
                <w:sz w:val="22"/>
              </w:rPr>
            </w:pPr>
            <w:r>
              <w:rPr>
                <w:rFonts w:hint="eastAsia" w:ascii="宋体" w:hAnsi="宋体"/>
                <w:b/>
                <w:sz w:val="22"/>
              </w:rPr>
              <w:t>产品名称</w:t>
            </w:r>
          </w:p>
        </w:tc>
        <w:tc>
          <w:tcPr>
            <w:tcW w:w="2344" w:type="dxa"/>
            <w:vAlign w:val="center"/>
          </w:tcPr>
          <w:p>
            <w:pPr>
              <w:pStyle w:val="139"/>
              <w:snapToGrid w:val="0"/>
              <w:jc w:val="center"/>
              <w:rPr>
                <w:rFonts w:ascii="宋体" w:hAnsi="宋体"/>
                <w:b/>
                <w:sz w:val="22"/>
              </w:rPr>
            </w:pPr>
            <w:r>
              <w:rPr>
                <w:rFonts w:hint="eastAsia" w:ascii="宋体" w:hAnsi="宋体"/>
                <w:b/>
                <w:sz w:val="22"/>
              </w:rPr>
              <w:t>服务内容及技术标准</w:t>
            </w:r>
          </w:p>
        </w:tc>
        <w:tc>
          <w:tcPr>
            <w:tcW w:w="1900" w:type="dxa"/>
            <w:vAlign w:val="center"/>
          </w:tcPr>
          <w:p>
            <w:pPr>
              <w:pStyle w:val="139"/>
              <w:snapToGrid w:val="0"/>
              <w:jc w:val="center"/>
              <w:rPr>
                <w:rFonts w:ascii="宋体" w:hAnsi="宋体"/>
                <w:b/>
                <w:sz w:val="22"/>
              </w:rPr>
            </w:pPr>
            <w:r>
              <w:rPr>
                <w:rFonts w:hint="eastAsia" w:ascii="宋体" w:hAnsi="宋体"/>
                <w:b/>
                <w:sz w:val="22"/>
              </w:rPr>
              <w:t>预估数量</w:t>
            </w:r>
          </w:p>
        </w:tc>
        <w:tc>
          <w:tcPr>
            <w:tcW w:w="1900" w:type="dxa"/>
            <w:vAlign w:val="center"/>
          </w:tcPr>
          <w:p>
            <w:pPr>
              <w:pStyle w:val="139"/>
              <w:snapToGrid w:val="0"/>
              <w:jc w:val="center"/>
              <w:rPr>
                <w:rFonts w:ascii="宋体" w:hAnsi="宋体"/>
                <w:b/>
                <w:sz w:val="22"/>
              </w:rPr>
            </w:pPr>
            <w:r>
              <w:rPr>
                <w:rFonts w:hint="eastAsia" w:ascii="宋体" w:hAnsi="宋体"/>
                <w:b/>
                <w:sz w:val="22"/>
              </w:rPr>
              <w:t>月服务费</w:t>
            </w:r>
          </w:p>
          <w:p>
            <w:pPr>
              <w:pStyle w:val="139"/>
              <w:snapToGrid w:val="0"/>
              <w:jc w:val="center"/>
              <w:rPr>
                <w:rFonts w:ascii="宋体" w:hAnsi="宋体"/>
                <w:b/>
                <w:sz w:val="22"/>
              </w:rPr>
            </w:pPr>
            <w:r>
              <w:rPr>
                <w:rFonts w:hint="eastAsia" w:ascii="宋体" w:hAnsi="宋体"/>
                <w:b/>
                <w:sz w:val="22"/>
              </w:rPr>
              <w:t>（元/辆）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jc w:val="center"/>
        </w:trPr>
        <w:tc>
          <w:tcPr>
            <w:tcW w:w="1683" w:type="dxa"/>
            <w:vAlign w:val="center"/>
          </w:tcPr>
          <w:p>
            <w:pPr>
              <w:pStyle w:val="139"/>
              <w:snapToGrid w:val="0"/>
              <w:jc w:val="center"/>
              <w:rPr>
                <w:rFonts w:ascii="宋体" w:hAnsi="宋体"/>
                <w:sz w:val="22"/>
              </w:rPr>
            </w:pPr>
          </w:p>
        </w:tc>
        <w:tc>
          <w:tcPr>
            <w:tcW w:w="2555" w:type="dxa"/>
            <w:vAlign w:val="center"/>
          </w:tcPr>
          <w:p>
            <w:pPr>
              <w:pStyle w:val="139"/>
              <w:snapToGrid w:val="0"/>
              <w:jc w:val="center"/>
              <w:rPr>
                <w:rFonts w:ascii="宋体" w:hAnsi="宋体"/>
                <w:sz w:val="22"/>
              </w:rPr>
            </w:pPr>
          </w:p>
        </w:tc>
        <w:tc>
          <w:tcPr>
            <w:tcW w:w="2344" w:type="dxa"/>
            <w:vAlign w:val="center"/>
          </w:tcPr>
          <w:p>
            <w:pPr>
              <w:pStyle w:val="139"/>
              <w:snapToGrid w:val="0"/>
              <w:jc w:val="center"/>
              <w:rPr>
                <w:rFonts w:ascii="宋体" w:hAnsi="宋体"/>
                <w:sz w:val="22"/>
              </w:rPr>
            </w:pPr>
            <w:r>
              <w:rPr>
                <w:rFonts w:hint="eastAsia" w:ascii="宋体" w:hAnsi="宋体"/>
                <w:sz w:val="22"/>
              </w:rPr>
              <w:t>详见附件二</w:t>
            </w:r>
          </w:p>
        </w:tc>
        <w:tc>
          <w:tcPr>
            <w:tcW w:w="1900" w:type="dxa"/>
            <w:vAlign w:val="center"/>
          </w:tcPr>
          <w:p>
            <w:pPr>
              <w:pStyle w:val="139"/>
              <w:snapToGrid w:val="0"/>
              <w:jc w:val="center"/>
              <w:rPr>
                <w:rFonts w:ascii="宋体" w:hAnsi="宋体"/>
                <w:sz w:val="22"/>
              </w:rPr>
            </w:pPr>
            <w:r>
              <w:rPr>
                <w:rFonts w:hint="eastAsia" w:ascii="宋体" w:hAnsi="宋体"/>
                <w:sz w:val="22"/>
              </w:rPr>
              <w:t>100辆</w:t>
            </w:r>
          </w:p>
        </w:tc>
        <w:tc>
          <w:tcPr>
            <w:tcW w:w="1900" w:type="dxa"/>
            <w:vAlign w:val="center"/>
          </w:tcPr>
          <w:p>
            <w:pPr>
              <w:pStyle w:val="139"/>
              <w:snapToGrid w:val="0"/>
              <w:jc w:val="center"/>
              <w:rPr>
                <w:rFonts w:ascii="宋体" w:hAnsi="宋体"/>
                <w:sz w:val="22"/>
              </w:rPr>
            </w:pPr>
          </w:p>
        </w:tc>
      </w:tr>
    </w:tbl>
    <w:p>
      <w:pPr>
        <w:pStyle w:val="140"/>
        <w:spacing w:before="0" w:after="0" w:line="360" w:lineRule="exact"/>
        <w:ind w:firstLine="442"/>
        <w:rPr>
          <w:rFonts w:ascii="宋体;SimSun" w:hAnsi="宋体;SimSun" w:eastAsia="宋体;SimSun" w:cs="宋体;SimSun"/>
          <w:b/>
          <w:sz w:val="22"/>
          <w:szCs w:val="22"/>
        </w:rPr>
      </w:pPr>
      <w:r>
        <w:rPr>
          <w:rFonts w:ascii="宋体;SimSun" w:hAnsi="宋体;SimSun" w:eastAsia="宋体;SimSun" w:cs="宋体;SimSun"/>
          <w:b/>
          <w:sz w:val="22"/>
          <w:szCs w:val="22"/>
        </w:rPr>
        <w:t>二、服务内容</w:t>
      </w:r>
    </w:p>
    <w:p>
      <w:pPr>
        <w:spacing w:line="360" w:lineRule="exact"/>
        <w:ind w:firstLine="440"/>
      </w:pPr>
      <w:r>
        <w:rPr>
          <w:rFonts w:ascii="宋体;SimSun" w:hAnsi="宋体;SimSun" w:cs="宋体;SimSun"/>
          <w:color w:val="000000"/>
          <w:sz w:val="22"/>
          <w:szCs w:val="20"/>
        </w:rPr>
        <w:t>1</w:t>
      </w:r>
      <w:r>
        <w:rPr>
          <w:rFonts w:hint="eastAsia" w:ascii="宋体;SimSun" w:hAnsi="宋体;SimSun" w:cs="宋体;SimSun"/>
          <w:color w:val="000000"/>
          <w:sz w:val="22"/>
          <w:szCs w:val="20"/>
        </w:rPr>
        <w:t>.</w:t>
      </w:r>
      <w:r>
        <w:rPr>
          <w:rFonts w:ascii="宋体;SimSun" w:hAnsi="宋体;SimSun" w:cs="宋体;SimSun"/>
          <w:color w:val="000000"/>
          <w:sz w:val="22"/>
          <w:szCs w:val="20"/>
        </w:rPr>
        <w:t>合同服务内容为甲方</w:t>
      </w:r>
      <w:r>
        <w:rPr>
          <w:rFonts w:hint="eastAsia" w:ascii="宋体;SimSun" w:hAnsi="宋体;SimSun" w:cs="宋体;SimSun"/>
          <w:color w:val="000000"/>
          <w:sz w:val="22"/>
          <w:szCs w:val="20"/>
        </w:rPr>
        <w:t>机坪车辆车载GPS设备使用服务</w:t>
      </w:r>
      <w:r>
        <w:rPr>
          <w:rFonts w:ascii="宋体;SimSun" w:hAnsi="宋体;SimSun" w:cs="宋体;SimSun"/>
          <w:color w:val="000000"/>
          <w:sz w:val="22"/>
          <w:szCs w:val="20"/>
        </w:rPr>
        <w:t>，具体服务内容和技术标准详见</w:t>
      </w:r>
      <w:r>
        <w:rPr>
          <w:rFonts w:hint="eastAsia" w:ascii="宋体;SimSun" w:hAnsi="宋体;SimSun" w:cs="宋体;SimSun"/>
          <w:color w:val="000000"/>
          <w:sz w:val="22"/>
          <w:szCs w:val="20"/>
        </w:rPr>
        <w:t>附件二</w:t>
      </w:r>
      <w:r>
        <w:rPr>
          <w:rFonts w:ascii="宋体;SimSun" w:hAnsi="宋体;SimSun" w:cs="宋体;SimSun"/>
          <w:color w:val="000000"/>
          <w:sz w:val="22"/>
          <w:szCs w:val="20"/>
        </w:rPr>
        <w:t>。</w:t>
      </w:r>
      <w:r>
        <w:rPr>
          <w:rFonts w:hint="eastAsia" w:ascii="宋体;SimSun" w:hAnsi="宋体;SimSun" w:cs="宋体;SimSun"/>
          <w:color w:val="000000"/>
          <w:sz w:val="22"/>
          <w:szCs w:val="20"/>
        </w:rPr>
        <w:t>实际安装数量与服务期以甲方要求为准，甲方保留随时调整安装数量及服务期的权利，费用按时间安装的数量与服务期结算。</w:t>
      </w:r>
    </w:p>
    <w:p>
      <w:pPr>
        <w:spacing w:line="360" w:lineRule="exact"/>
        <w:ind w:firstLine="440"/>
      </w:pPr>
      <w:r>
        <w:rPr>
          <w:rFonts w:ascii="宋体;SimSun" w:hAnsi="宋体;SimSun" w:cs="宋体;SimSun"/>
          <w:color w:val="000000"/>
          <w:sz w:val="22"/>
          <w:szCs w:val="20"/>
        </w:rPr>
        <w:t>2</w:t>
      </w:r>
      <w:r>
        <w:rPr>
          <w:rFonts w:hint="eastAsia" w:ascii="宋体;SimSun" w:hAnsi="宋体;SimSun" w:cs="宋体;SimSun"/>
          <w:color w:val="000000"/>
          <w:sz w:val="22"/>
          <w:szCs w:val="20"/>
        </w:rPr>
        <w:t>.</w:t>
      </w:r>
      <w:r>
        <w:rPr>
          <w:rFonts w:ascii="宋体;SimSun" w:hAnsi="宋体;SimSun" w:cs="宋体;SimSun"/>
          <w:color w:val="000000"/>
          <w:sz w:val="22"/>
          <w:szCs w:val="20"/>
        </w:rPr>
        <w:t>合同</w:t>
      </w:r>
      <w:r>
        <w:rPr>
          <w:rFonts w:hint="eastAsia" w:ascii="宋体;SimSun" w:hAnsi="宋体;SimSun" w:cs="宋体;SimSun"/>
          <w:color w:val="000000"/>
          <w:sz w:val="22"/>
          <w:szCs w:val="20"/>
        </w:rPr>
        <w:t>服务期限为</w:t>
      </w:r>
      <w:r>
        <w:rPr>
          <w:rFonts w:ascii="宋体;SimSun" w:hAnsi="宋体;SimSun" w:cs="宋体;SimSun"/>
          <w:color w:val="000000"/>
          <w:sz w:val="22"/>
          <w:szCs w:val="20"/>
        </w:rPr>
        <w:t xml:space="preserve">自 </w:t>
      </w:r>
      <w:r>
        <w:rPr>
          <w:rFonts w:hint="eastAsia" w:ascii="宋体;SimSun" w:hAnsi="宋体;SimSun" w:cs="宋体;SimSun"/>
          <w:color w:val="000000"/>
          <w:sz w:val="22"/>
          <w:szCs w:val="20"/>
        </w:rPr>
        <w:t>2020</w:t>
      </w:r>
      <w:r>
        <w:rPr>
          <w:rFonts w:ascii="宋体;SimSun" w:hAnsi="宋体;SimSun" w:cs="宋体;SimSun"/>
          <w:color w:val="000000"/>
          <w:sz w:val="22"/>
          <w:szCs w:val="20"/>
        </w:rPr>
        <w:t xml:space="preserve">年 </w:t>
      </w:r>
      <w:r>
        <w:rPr>
          <w:rFonts w:hint="eastAsia" w:ascii="宋体;SimSun" w:hAnsi="宋体;SimSun" w:cs="宋体;SimSun"/>
          <w:color w:val="000000"/>
          <w:sz w:val="22"/>
          <w:szCs w:val="20"/>
        </w:rPr>
        <w:t>1</w:t>
      </w:r>
      <w:r>
        <w:rPr>
          <w:rFonts w:ascii="宋体;SimSun" w:hAnsi="宋体;SimSun" w:cs="宋体;SimSun"/>
          <w:color w:val="000000"/>
          <w:sz w:val="22"/>
          <w:szCs w:val="20"/>
        </w:rPr>
        <w:t>月</w:t>
      </w:r>
      <w:r>
        <w:rPr>
          <w:rFonts w:hint="eastAsia" w:ascii="宋体;SimSun" w:hAnsi="宋体;SimSun" w:cs="宋体;SimSun"/>
          <w:color w:val="000000"/>
          <w:sz w:val="22"/>
          <w:szCs w:val="20"/>
        </w:rPr>
        <w:t>1</w:t>
      </w:r>
      <w:r>
        <w:rPr>
          <w:rFonts w:ascii="宋体;SimSun" w:hAnsi="宋体;SimSun" w:cs="宋体;SimSun"/>
          <w:color w:val="000000"/>
          <w:sz w:val="22"/>
          <w:szCs w:val="20"/>
        </w:rPr>
        <w:t>日至</w:t>
      </w:r>
      <w:r>
        <w:rPr>
          <w:rFonts w:hint="eastAsia" w:ascii="宋体;SimSun" w:hAnsi="宋体;SimSun" w:cs="宋体;SimSun"/>
          <w:color w:val="000000"/>
          <w:sz w:val="22"/>
          <w:szCs w:val="20"/>
        </w:rPr>
        <w:t>2020</w:t>
      </w:r>
      <w:r>
        <w:rPr>
          <w:rFonts w:ascii="宋体;SimSun" w:hAnsi="宋体;SimSun" w:cs="宋体;SimSun"/>
          <w:color w:val="000000"/>
          <w:sz w:val="22"/>
          <w:szCs w:val="20"/>
        </w:rPr>
        <w:t>年</w:t>
      </w:r>
      <w:r>
        <w:rPr>
          <w:rFonts w:hint="eastAsia" w:ascii="宋体;SimSun" w:hAnsi="宋体;SimSun" w:cs="宋体;SimSun"/>
          <w:color w:val="000000"/>
          <w:sz w:val="22"/>
          <w:szCs w:val="20"/>
        </w:rPr>
        <w:t>12</w:t>
      </w:r>
      <w:r>
        <w:rPr>
          <w:rFonts w:ascii="宋体;SimSun" w:hAnsi="宋体;SimSun" w:cs="宋体;SimSun"/>
          <w:color w:val="000000"/>
          <w:sz w:val="22"/>
          <w:szCs w:val="20"/>
        </w:rPr>
        <w:t>月</w:t>
      </w:r>
      <w:r>
        <w:rPr>
          <w:rFonts w:hint="eastAsia" w:ascii="宋体;SimSun" w:hAnsi="宋体;SimSun" w:cs="宋体;SimSun"/>
          <w:color w:val="000000"/>
          <w:sz w:val="22"/>
          <w:szCs w:val="20"/>
        </w:rPr>
        <w:t>31</w:t>
      </w:r>
      <w:r>
        <w:rPr>
          <w:rFonts w:ascii="宋体;SimSun" w:hAnsi="宋体;SimSun" w:cs="宋体;SimSun"/>
          <w:color w:val="000000"/>
          <w:sz w:val="22"/>
          <w:szCs w:val="20"/>
        </w:rPr>
        <w:t>日。</w:t>
      </w:r>
    </w:p>
    <w:p>
      <w:pPr>
        <w:tabs>
          <w:tab w:val="left" w:pos="3540"/>
        </w:tabs>
        <w:spacing w:line="360" w:lineRule="exact"/>
        <w:ind w:firstLine="442"/>
        <w:rPr>
          <w:rFonts w:hint="eastAsia" w:ascii="宋体;SimSun" w:hAnsi="宋体;SimSun" w:cs="宋体;SimSun"/>
          <w:b/>
          <w:sz w:val="22"/>
        </w:rPr>
      </w:pPr>
      <w:r>
        <w:rPr>
          <w:rFonts w:ascii="宋体;SimSun" w:hAnsi="宋体;SimSun" w:cs="宋体;SimSun"/>
          <w:b/>
          <w:sz w:val="22"/>
        </w:rPr>
        <w:t>三、合同金额及支付方式</w:t>
      </w:r>
      <w:r>
        <w:rPr>
          <w:rFonts w:hint="eastAsia" w:ascii="宋体;SimSun" w:hAnsi="宋体;SimSun" w:cs="宋体;SimSun"/>
          <w:b/>
          <w:sz w:val="22"/>
        </w:rPr>
        <w:tab/>
      </w:r>
    </w:p>
    <w:p>
      <w:pPr>
        <w:pStyle w:val="140"/>
        <w:spacing w:before="0" w:after="0" w:line="360" w:lineRule="exact"/>
        <w:ind w:firstLine="440"/>
        <w:jc w:val="both"/>
      </w:pPr>
      <w:r>
        <w:rPr>
          <w:rFonts w:hint="eastAsia" w:ascii="宋体" w:eastAsia="宋体"/>
          <w:color w:val="000000"/>
          <w:sz w:val="22"/>
          <w:szCs w:val="20"/>
        </w:rPr>
        <w:t>1.</w:t>
      </w:r>
      <w:r>
        <w:rPr>
          <w:rFonts w:hint="eastAsia"/>
        </w:rPr>
        <w:t xml:space="preserve"> </w:t>
      </w:r>
      <w:r>
        <w:rPr>
          <w:rFonts w:hint="eastAsia" w:ascii="宋体" w:eastAsia="宋体"/>
          <w:color w:val="000000"/>
          <w:sz w:val="22"/>
          <w:szCs w:val="20"/>
        </w:rPr>
        <w:t>合同支付方式</w:t>
      </w:r>
    </w:p>
    <w:p>
      <w:pPr>
        <w:pStyle w:val="140"/>
        <w:spacing w:before="0" w:after="0" w:line="360" w:lineRule="exact"/>
        <w:ind w:firstLine="440"/>
        <w:jc w:val="both"/>
        <w:rPr>
          <w:rFonts w:hint="eastAsia" w:ascii="宋体" w:eastAsia="宋体"/>
          <w:color w:val="000000"/>
          <w:sz w:val="22"/>
          <w:szCs w:val="20"/>
        </w:rPr>
      </w:pPr>
      <w:r>
        <w:rPr>
          <w:rFonts w:hint="eastAsia" w:ascii="宋体" w:eastAsia="宋体"/>
          <w:color w:val="000000"/>
          <w:sz w:val="22"/>
          <w:szCs w:val="20"/>
        </w:rPr>
        <w:t>本合同价格属于固定单价合同，最终合同结算价以实际数量乘以固定单价。</w:t>
      </w:r>
    </w:p>
    <w:p>
      <w:pPr>
        <w:pStyle w:val="140"/>
        <w:spacing w:before="0" w:after="0" w:line="360" w:lineRule="exact"/>
        <w:ind w:firstLine="440"/>
        <w:jc w:val="both"/>
        <w:rPr>
          <w:rFonts w:hint="eastAsia" w:ascii="宋体" w:eastAsia="宋体"/>
          <w:color w:val="000000"/>
          <w:sz w:val="22"/>
          <w:szCs w:val="20"/>
        </w:rPr>
      </w:pPr>
      <w:r>
        <w:rPr>
          <w:rFonts w:hint="eastAsia" w:ascii="宋体" w:eastAsia="宋体"/>
          <w:color w:val="000000"/>
          <w:sz w:val="22"/>
          <w:szCs w:val="20"/>
        </w:rPr>
        <w:t>2.</w:t>
      </w:r>
      <w:r>
        <w:rPr>
          <w:rFonts w:hint="eastAsia"/>
        </w:rPr>
        <w:t xml:space="preserve"> </w:t>
      </w:r>
      <w:r>
        <w:rPr>
          <w:rFonts w:hint="eastAsia" w:ascii="宋体" w:eastAsia="宋体"/>
          <w:color w:val="000000"/>
          <w:sz w:val="22"/>
          <w:szCs w:val="20"/>
        </w:rPr>
        <w:t>合同金额</w:t>
      </w:r>
    </w:p>
    <w:p>
      <w:pPr>
        <w:pStyle w:val="140"/>
        <w:spacing w:before="0" w:after="0" w:line="360" w:lineRule="exact"/>
        <w:ind w:firstLine="440"/>
        <w:jc w:val="both"/>
        <w:rPr>
          <w:rFonts w:hint="eastAsia" w:ascii="宋体" w:eastAsia="宋体"/>
          <w:color w:val="000000"/>
          <w:sz w:val="22"/>
          <w:szCs w:val="20"/>
        </w:rPr>
      </w:pPr>
      <w:r>
        <w:rPr>
          <w:rFonts w:hint="eastAsia" w:ascii="宋体" w:eastAsia="宋体"/>
          <w:color w:val="000000"/>
          <w:sz w:val="22"/>
          <w:szCs w:val="20"/>
        </w:rPr>
        <w:t>每辆车的月服务费为（大写）：</w:t>
      </w:r>
      <w:r>
        <w:rPr>
          <w:rFonts w:hint="eastAsia" w:ascii="宋体" w:eastAsia="宋体"/>
          <w:color w:val="000000"/>
          <w:sz w:val="22"/>
          <w:szCs w:val="20"/>
          <w:u w:val="single"/>
        </w:rPr>
        <w:t>_______</w:t>
      </w:r>
      <w:r>
        <w:rPr>
          <w:rFonts w:hint="eastAsia" w:ascii="宋体" w:eastAsia="宋体"/>
          <w:color w:val="000000"/>
          <w:sz w:val="22"/>
          <w:szCs w:val="20"/>
        </w:rPr>
        <w:t>元/月（￥</w:t>
      </w:r>
      <w:r>
        <w:rPr>
          <w:rFonts w:hint="eastAsia" w:ascii="宋体" w:eastAsia="宋体"/>
          <w:color w:val="000000"/>
          <w:sz w:val="22"/>
          <w:szCs w:val="20"/>
          <w:u w:val="single"/>
        </w:rPr>
        <w:t>_______</w:t>
      </w:r>
      <w:r>
        <w:rPr>
          <w:rFonts w:hint="eastAsia" w:ascii="宋体" w:eastAsia="宋体"/>
          <w:color w:val="000000"/>
          <w:sz w:val="22"/>
          <w:szCs w:val="20"/>
        </w:rPr>
        <w:t>元/月）人民币。</w:t>
      </w:r>
    </w:p>
    <w:p>
      <w:pPr>
        <w:pStyle w:val="140"/>
        <w:spacing w:before="0" w:after="0" w:line="360" w:lineRule="exact"/>
        <w:ind w:firstLine="440"/>
        <w:jc w:val="both"/>
        <w:rPr>
          <w:rFonts w:hint="eastAsia" w:ascii="宋体" w:eastAsia="宋体"/>
          <w:color w:val="000000"/>
          <w:sz w:val="22"/>
          <w:szCs w:val="20"/>
        </w:rPr>
      </w:pPr>
      <w:r>
        <w:rPr>
          <w:rFonts w:hint="eastAsia" w:ascii="宋体" w:eastAsia="宋体"/>
          <w:color w:val="000000"/>
          <w:sz w:val="22"/>
          <w:szCs w:val="20"/>
        </w:rPr>
        <w:t>本合同价为杭州萧山国际机场内交货价，含设备费用、系统使用费用和安装调试费用，以及必要的保险费用和各项税金等所有费用的总和。甲方不再承担其他任何费用。</w:t>
      </w:r>
    </w:p>
    <w:p>
      <w:pPr>
        <w:pStyle w:val="140"/>
        <w:spacing w:before="0" w:after="0" w:line="360" w:lineRule="exact"/>
        <w:ind w:firstLine="440"/>
        <w:jc w:val="both"/>
        <w:rPr>
          <w:rFonts w:hint="eastAsia" w:ascii="宋体" w:eastAsia="宋体"/>
          <w:color w:val="000000"/>
          <w:sz w:val="22"/>
          <w:szCs w:val="20"/>
        </w:rPr>
      </w:pPr>
      <w:r>
        <w:rPr>
          <w:rFonts w:hint="eastAsia" w:ascii="宋体" w:eastAsia="宋体"/>
          <w:color w:val="000000"/>
          <w:sz w:val="22"/>
          <w:szCs w:val="20"/>
        </w:rPr>
        <w:t>3.支付方式</w:t>
      </w:r>
    </w:p>
    <w:p>
      <w:pPr>
        <w:pStyle w:val="140"/>
        <w:spacing w:before="0" w:after="0" w:line="360" w:lineRule="exact"/>
        <w:ind w:firstLine="440"/>
        <w:jc w:val="both"/>
        <w:rPr>
          <w:rFonts w:hint="eastAsia" w:ascii="宋体" w:eastAsia="宋体"/>
          <w:color w:val="000000"/>
          <w:sz w:val="22"/>
          <w:szCs w:val="20"/>
        </w:rPr>
      </w:pPr>
      <w:r>
        <w:rPr>
          <w:rFonts w:hint="eastAsia" w:ascii="宋体" w:eastAsia="宋体"/>
          <w:color w:val="000000"/>
          <w:sz w:val="22"/>
          <w:szCs w:val="20"/>
        </w:rPr>
        <w:t>按季支付，乙方每季度完成相应服务后，按照考核标准（详见附件三），由甲方于每季度首月15日前组织验收，经甲方验收合格后，支付该季度的服务费用。</w:t>
      </w:r>
    </w:p>
    <w:p>
      <w:pPr>
        <w:pStyle w:val="140"/>
        <w:spacing w:before="0" w:after="0" w:line="360" w:lineRule="exact"/>
        <w:ind w:firstLine="440"/>
        <w:jc w:val="both"/>
        <w:rPr>
          <w:rFonts w:hint="eastAsia" w:ascii="宋体" w:eastAsia="宋体"/>
          <w:color w:val="000000"/>
          <w:sz w:val="22"/>
          <w:szCs w:val="20"/>
        </w:rPr>
      </w:pPr>
      <w:r>
        <w:rPr>
          <w:rFonts w:hint="eastAsia" w:ascii="宋体" w:eastAsia="宋体"/>
          <w:color w:val="000000"/>
          <w:sz w:val="22"/>
          <w:szCs w:val="20"/>
        </w:rPr>
        <w:t>4.在合同有效期限内，若因国家税收政策调整而引起的增值税税率变化的，应按照国家税收政策调整，合同总金额变更为原合同不含增值税货物或劳务价格与调整后税率计算税额的合计金额。</w:t>
      </w:r>
    </w:p>
    <w:p>
      <w:pPr>
        <w:pStyle w:val="140"/>
        <w:adjustRightInd w:val="0"/>
        <w:snapToGrid w:val="0"/>
        <w:spacing w:before="0" w:after="0" w:line="360" w:lineRule="exact"/>
        <w:ind w:firstLine="442" w:firstLineChars="200"/>
        <w:jc w:val="both"/>
        <w:outlineLvl w:val="0"/>
        <w:rPr>
          <w:rFonts w:ascii="宋体" w:hAnsi="仿宋_GB2312" w:eastAsia="宋体" w:cs="仿宋_GB2312"/>
          <w:b/>
          <w:color w:val="000000"/>
          <w:sz w:val="22"/>
          <w:szCs w:val="20"/>
        </w:rPr>
      </w:pPr>
      <w:r>
        <w:rPr>
          <w:rFonts w:hint="eastAsia" w:ascii="宋体" w:hAnsi="仿宋_GB2312" w:eastAsia="宋体" w:cs="仿宋_GB2312"/>
          <w:b/>
          <w:color w:val="000000"/>
          <w:sz w:val="22"/>
          <w:szCs w:val="20"/>
        </w:rPr>
        <w:t>四、履约担保</w:t>
      </w:r>
    </w:p>
    <w:p>
      <w:pPr>
        <w:pStyle w:val="140"/>
        <w:spacing w:before="0" w:after="0" w:line="360" w:lineRule="exact"/>
        <w:ind w:firstLine="440" w:firstLineChars="200"/>
        <w:jc w:val="both"/>
        <w:rPr>
          <w:rFonts w:hint="eastAsia" w:ascii="宋体" w:eastAsia="宋体"/>
          <w:color w:val="000000"/>
          <w:sz w:val="22"/>
          <w:szCs w:val="20"/>
        </w:rPr>
      </w:pPr>
      <w:r>
        <w:rPr>
          <w:rFonts w:hint="eastAsia" w:ascii="宋体" w:eastAsia="宋体"/>
          <w:color w:val="000000"/>
          <w:sz w:val="22"/>
          <w:szCs w:val="20"/>
        </w:rPr>
        <w:t>1．乙方应在收到甲方中标通知书后【10】日内，向甲方支付人民币1万元整作为履约保证金。如果逾期未缴纳，甲方有权解除本合同，并要求乙方承担由此给甲方造成的损失。</w:t>
      </w:r>
    </w:p>
    <w:p>
      <w:pPr>
        <w:pStyle w:val="140"/>
        <w:spacing w:before="0" w:after="0" w:line="360" w:lineRule="exact"/>
        <w:ind w:firstLine="440" w:firstLineChars="200"/>
        <w:jc w:val="both"/>
        <w:rPr>
          <w:rFonts w:hint="eastAsia" w:ascii="宋体" w:eastAsia="宋体"/>
          <w:color w:val="000000"/>
          <w:sz w:val="22"/>
          <w:szCs w:val="20"/>
        </w:rPr>
      </w:pPr>
      <w:r>
        <w:rPr>
          <w:rFonts w:hint="eastAsia" w:ascii="宋体" w:eastAsia="宋体"/>
          <w:color w:val="000000"/>
          <w:sz w:val="22"/>
          <w:szCs w:val="20"/>
        </w:rPr>
        <w:t>2．在合同履行期间，如果乙方存在违约情形，甲方有权优先从履约保证金中扣除相应款项，并书面通知乙方。乙方自收到书面通知之日起【5】日内补足履约保证金。如果乙方不及时补足履约保证金，视为乙方违约，甲方有权解除合同，并要求乙方承担相应的违约责任。待合同服务期满后经甲方确认，乙方不存在任何违约情形并收到甲方书面认可后【30】日内，甲方无息返还履约保证金。</w:t>
      </w:r>
    </w:p>
    <w:p>
      <w:pPr>
        <w:pStyle w:val="140"/>
        <w:spacing w:before="0" w:after="0" w:line="360" w:lineRule="exact"/>
        <w:ind w:firstLine="442"/>
        <w:jc w:val="both"/>
        <w:rPr>
          <w:rFonts w:ascii="宋体;SimSun" w:hAnsi="宋体;SimSun" w:eastAsia="宋体;SimSun" w:cs="宋体;SimSun"/>
          <w:b/>
          <w:sz w:val="22"/>
          <w:szCs w:val="22"/>
        </w:rPr>
      </w:pPr>
      <w:r>
        <w:rPr>
          <w:rFonts w:hint="eastAsia" w:ascii="宋体;SimSun" w:hAnsi="宋体;SimSun" w:eastAsia="宋体;SimSun" w:cs="宋体;SimSun"/>
          <w:b/>
          <w:sz w:val="22"/>
          <w:szCs w:val="22"/>
        </w:rPr>
        <w:t>五</w:t>
      </w:r>
      <w:r>
        <w:rPr>
          <w:rFonts w:ascii="宋体;SimSun" w:hAnsi="宋体;SimSun" w:eastAsia="宋体;SimSun" w:cs="宋体;SimSun"/>
          <w:b/>
          <w:sz w:val="22"/>
          <w:szCs w:val="22"/>
        </w:rPr>
        <w:t>、</w:t>
      </w:r>
      <w:r>
        <w:rPr>
          <w:rFonts w:hint="eastAsia" w:ascii="宋体;SimSun" w:hAnsi="宋体;SimSun" w:eastAsia="宋体;SimSun" w:cs="宋体;SimSun"/>
          <w:b/>
          <w:sz w:val="22"/>
          <w:szCs w:val="22"/>
        </w:rPr>
        <w:t>服务期内</w:t>
      </w:r>
      <w:r>
        <w:rPr>
          <w:rFonts w:ascii="宋体;SimSun" w:hAnsi="宋体;SimSun" w:eastAsia="宋体;SimSun" w:cs="宋体;SimSun"/>
          <w:b/>
          <w:sz w:val="22"/>
          <w:szCs w:val="22"/>
        </w:rPr>
        <w:t>技术支持服务</w:t>
      </w:r>
    </w:p>
    <w:p>
      <w:pPr>
        <w:snapToGrid w:val="0"/>
        <w:spacing w:line="360" w:lineRule="exact"/>
        <w:ind w:firstLine="641"/>
      </w:pPr>
      <w:r>
        <w:rPr>
          <w:rFonts w:ascii="宋体;SimSun" w:hAnsi="宋体;SimSun" w:cs="宋体;SimSun"/>
          <w:color w:val="000000"/>
          <w:sz w:val="22"/>
          <w:szCs w:val="20"/>
        </w:rPr>
        <w:t>1、服务期内，乙方将根据甲方使用软件时所遇到的问题，为甲方提供三类服务方式：远程服务，软件升级服务及上门服务。</w:t>
      </w:r>
    </w:p>
    <w:p>
      <w:pPr>
        <w:snapToGrid w:val="0"/>
        <w:spacing w:line="360" w:lineRule="exact"/>
        <w:ind w:firstLine="641"/>
      </w:pPr>
      <w:r>
        <w:rPr>
          <w:rFonts w:ascii="宋体;SimSun" w:hAnsi="宋体;SimSun" w:cs="宋体;SimSun"/>
          <w:color w:val="000000"/>
          <w:sz w:val="22"/>
          <w:szCs w:val="20"/>
        </w:rPr>
        <w:t>2、服务期内，若因乙方软件自身的问题导致发生故障，则属于保修范围，由乙方免费维修。</w:t>
      </w:r>
    </w:p>
    <w:p>
      <w:pPr>
        <w:snapToGrid w:val="0"/>
        <w:spacing w:line="360" w:lineRule="exact"/>
        <w:ind w:firstLine="641"/>
        <w:rPr>
          <w:rFonts w:hint="eastAsia" w:ascii="宋体;SimSun" w:hAnsi="宋体;SimSun" w:cs="宋体;SimSun"/>
          <w:color w:val="000000"/>
          <w:sz w:val="22"/>
          <w:szCs w:val="20"/>
        </w:rPr>
      </w:pPr>
      <w:r>
        <w:rPr>
          <w:rFonts w:ascii="宋体;SimSun" w:hAnsi="宋体;SimSun" w:cs="宋体;SimSun"/>
          <w:color w:val="000000"/>
          <w:sz w:val="22"/>
          <w:szCs w:val="20"/>
        </w:rPr>
        <w:t>3、乙方由专人负责接听用户问题反馈，并于1个日历日内给予初步反馈。乙方提供全天候24小时远程技术支持，在接到甲方报修后15分钟内接入系统，进行故障诊断和技术支持，直到故障解决。若设备、系统发生重大故障，乙方必须在甲方指定的时限内调派相应技术人员至现场进行处理故障。乙方服务工程师上门服务时，甲方应出示保修证书，故障修复后，服务工程师将据实填写相应的《甲方服务维修记录表》，请甲方认可后签字。</w:t>
      </w:r>
    </w:p>
    <w:p>
      <w:pPr>
        <w:snapToGrid w:val="0"/>
        <w:spacing w:line="360" w:lineRule="exact"/>
        <w:ind w:firstLine="641"/>
        <w:rPr>
          <w:rFonts w:hint="eastAsia" w:ascii="宋体;SimSun" w:hAnsi="宋体;SimSun" w:cs="宋体;SimSun"/>
          <w:b/>
          <w:sz w:val="22"/>
        </w:rPr>
      </w:pPr>
      <w:r>
        <w:rPr>
          <w:rFonts w:hint="eastAsia" w:ascii="仿宋_GB2312" w:hAnsi="仿宋_GB2312" w:eastAsia="仿宋_GB2312" w:cs="仿宋_GB2312"/>
          <w:b/>
          <w:sz w:val="28"/>
          <w:szCs w:val="28"/>
        </w:rPr>
        <w:t>六</w:t>
      </w:r>
      <w:r>
        <w:rPr>
          <w:rFonts w:ascii="宋体;SimSun" w:hAnsi="宋体;SimSun" w:cs="宋体;SimSun"/>
          <w:b/>
          <w:sz w:val="22"/>
        </w:rPr>
        <w:t>、保密义务</w:t>
      </w:r>
    </w:p>
    <w:p>
      <w:pPr>
        <w:snapToGrid w:val="0"/>
        <w:spacing w:line="360" w:lineRule="exact"/>
        <w:ind w:firstLine="641"/>
        <w:rPr>
          <w:rFonts w:hint="eastAsia" w:ascii="宋体;SimSun" w:hAnsi="宋体;SimSun" w:cs="宋体;SimSun"/>
          <w:color w:val="000000"/>
          <w:sz w:val="22"/>
          <w:szCs w:val="20"/>
        </w:rPr>
      </w:pPr>
      <w:r>
        <w:rPr>
          <w:rFonts w:ascii="宋体;SimSun" w:hAnsi="宋体;SimSun" w:cs="宋体;SimSun"/>
          <w:color w:val="000000"/>
          <w:sz w:val="22"/>
          <w:szCs w:val="20"/>
        </w:rPr>
        <w:t>合同双方对合同对方的技术秘密和商业秘密负有保密义务。若违反该条款，则违约方向守约方承担由此造成的实际损失。</w:t>
      </w:r>
    </w:p>
    <w:p>
      <w:pPr>
        <w:snapToGrid w:val="0"/>
        <w:spacing w:line="360" w:lineRule="exact"/>
        <w:ind w:firstLine="641"/>
        <w:rPr>
          <w:rFonts w:hint="eastAsia" w:ascii="宋体;SimSun" w:hAnsi="宋体;SimSun" w:cs="宋体;SimSun"/>
          <w:b/>
          <w:color w:val="000000"/>
          <w:sz w:val="22"/>
          <w:szCs w:val="20"/>
        </w:rPr>
      </w:pPr>
      <w:r>
        <w:rPr>
          <w:rFonts w:hint="eastAsia" w:ascii="宋体;SimSun" w:hAnsi="宋体;SimSun" w:cs="宋体;SimSun"/>
          <w:b/>
          <w:color w:val="000000"/>
          <w:sz w:val="22"/>
          <w:szCs w:val="20"/>
        </w:rPr>
        <w:t xml:space="preserve">七、违约责任             </w:t>
      </w:r>
    </w:p>
    <w:p>
      <w:pPr>
        <w:adjustRightInd w:val="0"/>
        <w:snapToGrid w:val="0"/>
        <w:spacing w:line="360" w:lineRule="exact"/>
        <w:ind w:firstLine="440" w:firstLineChars="200"/>
        <w:jc w:val="left"/>
        <w:rPr>
          <w:rFonts w:hint="eastAsia" w:ascii="宋体;SimSun" w:hAnsi="宋体;SimSun" w:cs="宋体;SimSun"/>
          <w:color w:val="000000"/>
          <w:sz w:val="22"/>
          <w:szCs w:val="20"/>
        </w:rPr>
      </w:pPr>
      <w:r>
        <w:rPr>
          <w:rFonts w:ascii="宋体;SimSun" w:hAnsi="宋体;SimSun" w:cs="宋体;SimSun"/>
          <w:color w:val="000000"/>
          <w:sz w:val="22"/>
          <w:szCs w:val="20"/>
        </w:rPr>
        <w:t xml:space="preserve">1. </w:t>
      </w:r>
      <w:r>
        <w:rPr>
          <w:rFonts w:hint="eastAsia" w:ascii="宋体;SimSun" w:hAnsi="宋体;SimSun" w:cs="宋体;SimSun"/>
          <w:color w:val="000000"/>
          <w:sz w:val="22"/>
          <w:szCs w:val="20"/>
        </w:rPr>
        <w:t>甲方无正当理由拒收乙方服务的，甲方向乙方偿付合同款项百分之五作为违约金。</w:t>
      </w:r>
    </w:p>
    <w:p>
      <w:pPr>
        <w:adjustRightInd w:val="0"/>
        <w:snapToGrid w:val="0"/>
        <w:spacing w:line="360" w:lineRule="exact"/>
        <w:ind w:firstLine="440" w:firstLineChars="200"/>
        <w:jc w:val="left"/>
        <w:rPr>
          <w:rFonts w:hint="eastAsia" w:ascii="宋体;SimSun" w:hAnsi="宋体;SimSun" w:cs="宋体;SimSun"/>
          <w:color w:val="000000"/>
          <w:sz w:val="22"/>
          <w:szCs w:val="20"/>
        </w:rPr>
      </w:pPr>
      <w:r>
        <w:rPr>
          <w:rFonts w:ascii="宋体;SimSun" w:hAnsi="宋体;SimSun" w:cs="宋体;SimSun"/>
          <w:color w:val="000000"/>
          <w:sz w:val="22"/>
          <w:szCs w:val="20"/>
        </w:rPr>
        <w:t xml:space="preserve">2. </w:t>
      </w:r>
      <w:r>
        <w:rPr>
          <w:rFonts w:hint="eastAsia" w:ascii="宋体;SimSun" w:hAnsi="宋体;SimSun" w:cs="宋体;SimSun"/>
          <w:color w:val="000000"/>
          <w:sz w:val="22"/>
          <w:szCs w:val="20"/>
        </w:rPr>
        <w:t>甲方无故逾期支付本合同约定款项的</w:t>
      </w:r>
      <w:r>
        <w:rPr>
          <w:rFonts w:ascii="宋体;SimSun" w:hAnsi="宋体;SimSun" w:cs="宋体;SimSun"/>
          <w:color w:val="000000"/>
          <w:sz w:val="22"/>
          <w:szCs w:val="20"/>
        </w:rPr>
        <w:t>,</w:t>
      </w:r>
      <w:r>
        <w:rPr>
          <w:rFonts w:hint="eastAsia" w:ascii="宋体;SimSun" w:hAnsi="宋体;SimSun" w:cs="宋体;SimSun"/>
          <w:color w:val="000000"/>
          <w:sz w:val="22"/>
          <w:szCs w:val="20"/>
        </w:rPr>
        <w:t>甲方应按逾期付款总额每日【】</w:t>
      </w:r>
      <w:r>
        <w:rPr>
          <w:rFonts w:ascii="宋体;SimSun" w:hAnsi="宋体;SimSun" w:cs="宋体;SimSun"/>
          <w:color w:val="000000"/>
          <w:sz w:val="22"/>
          <w:szCs w:val="20"/>
        </w:rPr>
        <w:t>%</w:t>
      </w:r>
      <w:r>
        <w:rPr>
          <w:rFonts w:hint="eastAsia" w:ascii="宋体;SimSun" w:hAnsi="宋体;SimSun" w:cs="宋体;SimSun"/>
          <w:color w:val="000000"/>
          <w:sz w:val="22"/>
          <w:szCs w:val="20"/>
        </w:rPr>
        <w:t>向乙方支付违约金。</w:t>
      </w:r>
    </w:p>
    <w:p>
      <w:pPr>
        <w:adjustRightInd w:val="0"/>
        <w:snapToGrid w:val="0"/>
        <w:spacing w:line="360" w:lineRule="exact"/>
        <w:ind w:firstLine="440" w:firstLineChars="200"/>
        <w:jc w:val="left"/>
        <w:rPr>
          <w:rFonts w:hint="eastAsia" w:ascii="宋体;SimSun" w:hAnsi="宋体;SimSun" w:cs="宋体;SimSun"/>
          <w:color w:val="000000"/>
          <w:sz w:val="22"/>
          <w:szCs w:val="20"/>
        </w:rPr>
      </w:pPr>
      <w:r>
        <w:rPr>
          <w:rFonts w:ascii="宋体;SimSun" w:hAnsi="宋体;SimSun" w:cs="宋体;SimSun"/>
          <w:color w:val="000000"/>
          <w:sz w:val="22"/>
          <w:szCs w:val="20"/>
        </w:rPr>
        <w:t xml:space="preserve">3. </w:t>
      </w:r>
      <w:r>
        <w:rPr>
          <w:rFonts w:hint="eastAsia" w:ascii="宋体;SimSun" w:hAnsi="宋体;SimSun" w:cs="宋体;SimSun"/>
          <w:color w:val="000000"/>
          <w:sz w:val="22"/>
          <w:szCs w:val="20"/>
        </w:rPr>
        <w:t>乙方责任原因逾期提供服务（包含质保期内未按照本合同约定提供免费质保服务）的，乙方应按逾期交付部分每日【】</w:t>
      </w:r>
      <w:r>
        <w:rPr>
          <w:rFonts w:ascii="宋体;SimSun" w:hAnsi="宋体;SimSun" w:cs="宋体;SimSun"/>
          <w:color w:val="000000"/>
          <w:sz w:val="22"/>
          <w:szCs w:val="20"/>
        </w:rPr>
        <w:t>%</w:t>
      </w:r>
      <w:r>
        <w:rPr>
          <w:rFonts w:hint="eastAsia" w:ascii="宋体;SimSun" w:hAnsi="宋体;SimSun" w:cs="宋体;SimSun"/>
          <w:color w:val="000000"/>
          <w:sz w:val="22"/>
          <w:szCs w:val="20"/>
        </w:rPr>
        <w:t>向甲方支付违约金，由甲方从服务款中扣除。逾期超过约定日期【】个工作日的，甲方可解除本合同。乙方因逾期提供服务，或因其他违约行为导致甲方解除合同的，乙方应向甲方支付合同总价</w:t>
      </w:r>
      <w:r>
        <w:rPr>
          <w:rFonts w:ascii="宋体;SimSun" w:hAnsi="宋体;SimSun" w:cs="宋体;SimSun"/>
          <w:color w:val="000000"/>
          <w:sz w:val="22"/>
          <w:szCs w:val="20"/>
        </w:rPr>
        <w:t>5%</w:t>
      </w:r>
      <w:r>
        <w:rPr>
          <w:rFonts w:hint="eastAsia" w:ascii="宋体;SimSun" w:hAnsi="宋体;SimSun" w:cs="宋体;SimSun"/>
          <w:color w:val="000000"/>
          <w:sz w:val="22"/>
          <w:szCs w:val="20"/>
        </w:rPr>
        <w:t>的违约金，如造成甲方损失超过违约金的，超出部分由乙方继续承担赔偿责任。</w:t>
      </w:r>
      <w:r>
        <w:rPr>
          <w:rFonts w:ascii="宋体;SimSun" w:hAnsi="宋体;SimSun" w:cs="宋体;SimSun"/>
          <w:color w:val="000000"/>
          <w:sz w:val="22"/>
          <w:szCs w:val="20"/>
        </w:rPr>
        <w:t xml:space="preserve"> </w:t>
      </w:r>
    </w:p>
    <w:p>
      <w:pPr>
        <w:adjustRightInd w:val="0"/>
        <w:snapToGrid w:val="0"/>
        <w:spacing w:line="360" w:lineRule="exact"/>
        <w:ind w:firstLine="440" w:firstLineChars="200"/>
        <w:jc w:val="left"/>
        <w:rPr>
          <w:rFonts w:hint="eastAsia" w:ascii="宋体;SimSun" w:hAnsi="宋体;SimSun" w:cs="宋体;SimSun"/>
          <w:color w:val="000000"/>
          <w:sz w:val="22"/>
          <w:szCs w:val="20"/>
        </w:rPr>
      </w:pPr>
      <w:r>
        <w:rPr>
          <w:rFonts w:ascii="宋体;SimSun" w:hAnsi="宋体;SimSun" w:cs="宋体;SimSun"/>
          <w:color w:val="000000"/>
          <w:sz w:val="22"/>
          <w:szCs w:val="20"/>
        </w:rPr>
        <w:t xml:space="preserve">4. </w:t>
      </w:r>
      <w:r>
        <w:rPr>
          <w:rFonts w:hint="eastAsia" w:ascii="宋体;SimSun" w:hAnsi="宋体;SimSun" w:cs="宋体;SimSun"/>
          <w:color w:val="000000"/>
          <w:sz w:val="22"/>
          <w:szCs w:val="20"/>
        </w:rPr>
        <w:t>乙方所提供的服务不符合合同规定及招标文件规定标准的，甲方有权拒收该服务，并要求乙方重新提供；乙方因重新提供而逾期交付的，按乙方逾期处理。乙方拒绝重新提供或重新提供的服务仍然不符合本合同及招标文件规定的标准和要求的，甲方可单方面解除合同，并扣除乙方履约保证金。</w:t>
      </w:r>
    </w:p>
    <w:p>
      <w:pPr>
        <w:adjustRightInd w:val="0"/>
        <w:snapToGrid w:val="0"/>
        <w:spacing w:line="360" w:lineRule="exact"/>
        <w:ind w:firstLine="440" w:firstLineChars="200"/>
        <w:jc w:val="left"/>
        <w:rPr>
          <w:rFonts w:hint="eastAsia" w:ascii="宋体;SimSun" w:hAnsi="宋体;SimSun" w:cs="宋体;SimSun"/>
          <w:color w:val="000000"/>
          <w:sz w:val="22"/>
          <w:szCs w:val="20"/>
        </w:rPr>
      </w:pPr>
      <w:r>
        <w:rPr>
          <w:rFonts w:ascii="宋体;SimSun" w:hAnsi="宋体;SimSun" w:cs="宋体;SimSun"/>
          <w:color w:val="000000"/>
          <w:sz w:val="22"/>
          <w:szCs w:val="20"/>
        </w:rPr>
        <w:t>5</w:t>
      </w:r>
      <w:r>
        <w:rPr>
          <w:rFonts w:hint="eastAsia" w:ascii="宋体;SimSun" w:hAnsi="宋体;SimSun" w:cs="宋体;SimSun"/>
          <w:color w:val="000000"/>
          <w:sz w:val="22"/>
          <w:szCs w:val="20"/>
        </w:rPr>
        <w:t>．因乙方提供服务导致甲方或第三方人身、财产损害的，乙方须依法承担全部赔偿责任；如因该等损害导致甲方向第三方承担赔偿责任的，乙方须在甲方赔偿范围内全额向甲方做出赔偿。</w:t>
      </w:r>
    </w:p>
    <w:p>
      <w:pPr>
        <w:adjustRightInd w:val="0"/>
        <w:snapToGrid w:val="0"/>
        <w:spacing w:line="360" w:lineRule="exact"/>
        <w:ind w:firstLine="440" w:firstLineChars="200"/>
        <w:jc w:val="left"/>
        <w:rPr>
          <w:rFonts w:hint="eastAsia" w:ascii="宋体;SimSun" w:hAnsi="宋体;SimSun" w:cs="宋体;SimSun"/>
          <w:color w:val="000000"/>
          <w:sz w:val="22"/>
          <w:szCs w:val="20"/>
        </w:rPr>
      </w:pPr>
      <w:r>
        <w:rPr>
          <w:rFonts w:hint="eastAsia" w:ascii="宋体;SimSun" w:hAnsi="宋体;SimSun" w:cs="宋体;SimSun"/>
          <w:color w:val="000000"/>
          <w:sz w:val="22"/>
          <w:szCs w:val="20"/>
        </w:rPr>
        <w:t>6</w:t>
      </w:r>
      <w:r>
        <w:rPr>
          <w:rFonts w:ascii="宋体;SimSun" w:hAnsi="宋体;SimSun" w:cs="宋体;SimSun"/>
          <w:color w:val="000000"/>
          <w:sz w:val="22"/>
          <w:szCs w:val="20"/>
        </w:rPr>
        <w:t>.</w:t>
      </w:r>
      <w:r>
        <w:rPr>
          <w:rFonts w:hint="eastAsia" w:ascii="宋体;SimSun" w:hAnsi="宋体;SimSun" w:cs="宋体;SimSun"/>
          <w:color w:val="000000"/>
          <w:sz w:val="22"/>
          <w:szCs w:val="20"/>
        </w:rPr>
        <w:t xml:space="preserve"> 合同服务期内，如果乙方不能及时解决故障，甲方有权扣除乙方履约保证金。</w:t>
      </w:r>
      <w:r>
        <w:rPr>
          <w:rFonts w:ascii="宋体;SimSun" w:hAnsi="宋体;SimSun" w:cs="宋体;SimSun"/>
          <w:color w:val="000000"/>
          <w:sz w:val="22"/>
          <w:szCs w:val="20"/>
        </w:rPr>
        <w:t xml:space="preserve"> </w:t>
      </w:r>
    </w:p>
    <w:p>
      <w:pPr>
        <w:adjustRightInd w:val="0"/>
        <w:snapToGrid w:val="0"/>
        <w:spacing w:line="360" w:lineRule="exact"/>
        <w:ind w:firstLine="440" w:firstLineChars="200"/>
        <w:jc w:val="left"/>
        <w:rPr>
          <w:rFonts w:hint="eastAsia" w:ascii="宋体;SimSun" w:hAnsi="宋体;SimSun" w:cs="宋体;SimSun"/>
          <w:color w:val="000000"/>
          <w:sz w:val="22"/>
          <w:szCs w:val="20"/>
        </w:rPr>
      </w:pPr>
      <w:r>
        <w:rPr>
          <w:rFonts w:hint="eastAsia" w:ascii="宋体;SimSun" w:hAnsi="宋体;SimSun" w:cs="宋体;SimSun"/>
          <w:color w:val="000000"/>
          <w:sz w:val="22"/>
          <w:szCs w:val="20"/>
        </w:rPr>
        <w:t>7．除本合同另有规定外，乙方违反其在本合同项下其他义务并给甲方造成损失的，须向甲方承担全部赔偿责任。</w:t>
      </w:r>
    </w:p>
    <w:p>
      <w:pPr>
        <w:snapToGrid w:val="0"/>
        <w:spacing w:line="360" w:lineRule="exact"/>
        <w:ind w:firstLine="641"/>
        <w:rPr>
          <w:rFonts w:hint="eastAsia" w:ascii="宋体;SimSun" w:hAnsi="宋体;SimSun" w:cs="宋体;SimSun"/>
          <w:b/>
          <w:sz w:val="22"/>
        </w:rPr>
      </w:pPr>
      <w:r>
        <w:rPr>
          <w:rFonts w:hint="eastAsia" w:ascii="宋体;SimSun" w:hAnsi="宋体;SimSun" w:cs="宋体;SimSun"/>
          <w:b/>
          <w:sz w:val="22"/>
        </w:rPr>
        <w:t>八</w:t>
      </w:r>
      <w:r>
        <w:rPr>
          <w:rFonts w:ascii="宋体;SimSun" w:hAnsi="宋体;SimSun" w:cs="宋体;SimSun"/>
          <w:b/>
          <w:sz w:val="22"/>
        </w:rPr>
        <w:t>、知识产权保护</w:t>
      </w:r>
    </w:p>
    <w:p>
      <w:pPr>
        <w:snapToGrid w:val="0"/>
        <w:spacing w:line="360" w:lineRule="exact"/>
        <w:ind w:firstLine="641"/>
        <w:rPr>
          <w:rFonts w:hint="eastAsia" w:ascii="宋体;SimSun" w:hAnsi="宋体;SimSun" w:cs="宋体;SimSun"/>
          <w:color w:val="000000"/>
          <w:sz w:val="22"/>
          <w:szCs w:val="20"/>
        </w:rPr>
      </w:pPr>
      <w:r>
        <w:rPr>
          <w:rFonts w:ascii="宋体;SimSun" w:hAnsi="宋体;SimSun" w:cs="宋体;SimSun"/>
          <w:color w:val="000000"/>
          <w:sz w:val="22"/>
          <w:szCs w:val="20"/>
        </w:rPr>
        <w:t>乙方保证甲方对按照合同约定价格购买的产品拥有永久使用权，并对因此产生的纠纷负全部责任。</w:t>
      </w:r>
    </w:p>
    <w:p>
      <w:pPr>
        <w:snapToGrid w:val="0"/>
        <w:spacing w:line="360" w:lineRule="exact"/>
        <w:ind w:firstLine="641"/>
        <w:rPr>
          <w:rFonts w:hint="eastAsia" w:ascii="宋体;SimSun" w:hAnsi="宋体;SimSun" w:cs="宋体;SimSun"/>
          <w:b/>
          <w:color w:val="000000"/>
          <w:sz w:val="22"/>
          <w:szCs w:val="20"/>
        </w:rPr>
      </w:pPr>
      <w:r>
        <w:rPr>
          <w:rFonts w:hint="eastAsia" w:ascii="宋体;SimSun" w:hAnsi="宋体;SimSun" w:cs="宋体;SimSun"/>
          <w:b/>
          <w:color w:val="000000"/>
          <w:sz w:val="22"/>
          <w:szCs w:val="20"/>
        </w:rPr>
        <w:t>九</w:t>
      </w:r>
      <w:r>
        <w:rPr>
          <w:rFonts w:ascii="宋体;SimSun" w:hAnsi="宋体;SimSun" w:cs="宋体;SimSun"/>
          <w:b/>
          <w:color w:val="000000"/>
          <w:sz w:val="22"/>
          <w:szCs w:val="20"/>
        </w:rPr>
        <w:t>、不可抗力事件处理</w:t>
      </w:r>
    </w:p>
    <w:p>
      <w:pPr>
        <w:snapToGrid w:val="0"/>
        <w:spacing w:line="360" w:lineRule="exact"/>
        <w:ind w:firstLine="641"/>
      </w:pPr>
      <w:r>
        <w:rPr>
          <w:rFonts w:ascii="宋体;SimSun" w:hAnsi="宋体;SimSun" w:cs="宋体;SimSun"/>
          <w:color w:val="000000"/>
          <w:sz w:val="22"/>
          <w:szCs w:val="20"/>
        </w:rPr>
        <w:t>1.在合同有效期内，任何一方因不可抗力事件导致不能履行合同，则合同履行期可延长，其延长期与不可抗力影响期相同。</w:t>
      </w:r>
    </w:p>
    <w:p>
      <w:pPr>
        <w:snapToGrid w:val="0"/>
        <w:spacing w:line="360" w:lineRule="exact"/>
        <w:ind w:firstLine="641"/>
      </w:pPr>
      <w:r>
        <w:rPr>
          <w:rFonts w:ascii="宋体;SimSun" w:hAnsi="宋体;SimSun" w:cs="宋体;SimSun"/>
          <w:color w:val="000000"/>
          <w:sz w:val="22"/>
          <w:szCs w:val="20"/>
        </w:rPr>
        <w:t>2.不可抗力事件发生后，遭遇不可抗力的一方应立即通知对方，并寄送有关官方权威机构出具的证明。</w:t>
      </w:r>
    </w:p>
    <w:p>
      <w:pPr>
        <w:snapToGrid w:val="0"/>
        <w:spacing w:line="360" w:lineRule="exact"/>
        <w:ind w:firstLine="641"/>
      </w:pPr>
      <w:r>
        <w:rPr>
          <w:rFonts w:ascii="宋体;SimSun" w:hAnsi="宋体;SimSun" w:cs="宋体;SimSun"/>
          <w:color w:val="000000"/>
          <w:sz w:val="22"/>
          <w:szCs w:val="20"/>
        </w:rPr>
        <w:t>3.不可抗力事件延续140天以上，双方应通过友好协商，确定是否继续履行合同；协商无法达成一致的，本合同自动终止，双方互不承担赔偿或违约责任。</w:t>
      </w:r>
    </w:p>
    <w:p>
      <w:pPr>
        <w:snapToGrid w:val="0"/>
        <w:spacing w:line="360" w:lineRule="exact"/>
        <w:ind w:firstLine="641"/>
        <w:rPr>
          <w:rFonts w:hint="eastAsia" w:ascii="宋体;SimSun" w:hAnsi="宋体;SimSun" w:cs="宋体;SimSun"/>
          <w:b/>
          <w:color w:val="000000"/>
          <w:sz w:val="22"/>
          <w:szCs w:val="20"/>
        </w:rPr>
      </w:pPr>
      <w:r>
        <w:rPr>
          <w:rFonts w:hint="eastAsia" w:ascii="宋体;SimSun" w:hAnsi="宋体;SimSun" w:cs="宋体;SimSun"/>
          <w:b/>
          <w:color w:val="000000"/>
          <w:sz w:val="22"/>
          <w:szCs w:val="20"/>
        </w:rPr>
        <w:t>十</w:t>
      </w:r>
      <w:r>
        <w:rPr>
          <w:rFonts w:ascii="宋体;SimSun" w:hAnsi="宋体;SimSun" w:cs="宋体;SimSun"/>
          <w:b/>
          <w:color w:val="000000"/>
          <w:sz w:val="22"/>
          <w:szCs w:val="20"/>
        </w:rPr>
        <w:t>、争议解决方式</w:t>
      </w:r>
    </w:p>
    <w:p>
      <w:pPr>
        <w:snapToGrid w:val="0"/>
        <w:spacing w:line="360" w:lineRule="exact"/>
        <w:ind w:firstLine="641"/>
      </w:pPr>
      <w:r>
        <w:rPr>
          <w:rFonts w:ascii="宋体;SimSun" w:hAnsi="宋体;SimSun" w:cs="宋体;SimSun"/>
          <w:color w:val="000000"/>
          <w:sz w:val="22"/>
          <w:szCs w:val="20"/>
        </w:rPr>
        <w:t>1、甲乙双方必须严格执行本合同的各项条款与规定，如不执行或执行不力造成损失的，应承担相应的责任。</w:t>
      </w:r>
    </w:p>
    <w:p>
      <w:pPr>
        <w:snapToGrid w:val="0"/>
        <w:spacing w:line="360" w:lineRule="exact"/>
        <w:ind w:firstLine="641"/>
      </w:pPr>
      <w:r>
        <w:rPr>
          <w:rFonts w:ascii="宋体;SimSun" w:hAnsi="宋体;SimSun" w:cs="宋体;SimSun"/>
          <w:color w:val="000000"/>
          <w:sz w:val="22"/>
          <w:szCs w:val="20"/>
        </w:rPr>
        <w:t>2、任何一方未按合同履行义务，经双方协商未果，可要求有关主管部门调解。如其中一方不愿调解或调解不成时，任何一方可向甲方所在地人民法院起诉。</w:t>
      </w:r>
    </w:p>
    <w:p>
      <w:pPr>
        <w:snapToGrid w:val="0"/>
        <w:spacing w:line="360" w:lineRule="exact"/>
        <w:ind w:firstLine="641"/>
      </w:pPr>
      <w:r>
        <w:rPr>
          <w:rFonts w:ascii="宋体;SimSun" w:hAnsi="宋体;SimSun" w:cs="宋体;SimSun"/>
          <w:color w:val="000000"/>
          <w:sz w:val="22"/>
          <w:szCs w:val="20"/>
        </w:rPr>
        <w:t>3、因乙方原因提出提前解除或终止服务合同的情形时，乙方应当退还甲方已经支付的服务费，并向甲方承担实际损失30%的违约金。</w:t>
      </w:r>
    </w:p>
    <w:p>
      <w:pPr>
        <w:snapToGrid w:val="0"/>
        <w:spacing w:line="360" w:lineRule="exact"/>
        <w:ind w:firstLine="641"/>
      </w:pPr>
      <w:r>
        <w:rPr>
          <w:rFonts w:ascii="宋体;SimSun" w:hAnsi="宋体;SimSun" w:cs="宋体;SimSun"/>
          <w:color w:val="000000"/>
          <w:sz w:val="22"/>
          <w:szCs w:val="20"/>
        </w:rPr>
        <w:t>4、在解决争议期间，除争议事项外，双方应继续履行本合同规定的其他各项条款。</w:t>
      </w:r>
    </w:p>
    <w:p>
      <w:pPr>
        <w:spacing w:line="360" w:lineRule="exact"/>
        <w:ind w:firstLine="442"/>
        <w:rPr>
          <w:rFonts w:hint="eastAsia" w:ascii="宋体;SimSun" w:hAnsi="宋体;SimSun" w:cs="宋体;SimSun"/>
          <w:b/>
          <w:sz w:val="22"/>
        </w:rPr>
      </w:pPr>
      <w:r>
        <w:rPr>
          <w:rFonts w:ascii="宋体;SimSun" w:hAnsi="宋体;SimSun" w:cs="宋体;SimSun"/>
          <w:b/>
          <w:sz w:val="22"/>
        </w:rPr>
        <w:t>十</w:t>
      </w:r>
      <w:r>
        <w:rPr>
          <w:rFonts w:hint="eastAsia" w:ascii="宋体;SimSun" w:hAnsi="宋体;SimSun" w:cs="宋体;SimSun"/>
          <w:b/>
          <w:sz w:val="22"/>
        </w:rPr>
        <w:t>一</w:t>
      </w:r>
      <w:r>
        <w:rPr>
          <w:rFonts w:ascii="宋体;SimSun" w:hAnsi="宋体;SimSun" w:cs="宋体;SimSun"/>
          <w:b/>
          <w:sz w:val="22"/>
        </w:rPr>
        <w:t>、合同组成文件包含下列内容，合同与招投标文件不一致解释顺序如下：</w:t>
      </w:r>
    </w:p>
    <w:p>
      <w:pPr>
        <w:pStyle w:val="140"/>
        <w:spacing w:before="0" w:after="0" w:line="360" w:lineRule="exact"/>
        <w:ind w:firstLine="440"/>
        <w:jc w:val="both"/>
      </w:pPr>
      <w:r>
        <w:rPr>
          <w:rFonts w:ascii="宋体;SimSun" w:hAnsi="宋体;SimSun" w:eastAsia="宋体;SimSun" w:cs="宋体;SimSun"/>
          <w:color w:val="000000"/>
          <w:sz w:val="22"/>
          <w:szCs w:val="20"/>
        </w:rPr>
        <w:t>1.本合同协议书</w:t>
      </w:r>
    </w:p>
    <w:p>
      <w:pPr>
        <w:pStyle w:val="140"/>
        <w:spacing w:before="0" w:after="0" w:line="360" w:lineRule="exact"/>
        <w:ind w:firstLine="440"/>
        <w:jc w:val="both"/>
      </w:pPr>
      <w:r>
        <w:rPr>
          <w:rFonts w:ascii="宋体;SimSun" w:hAnsi="宋体;SimSun" w:eastAsia="宋体;SimSun" w:cs="宋体;SimSun"/>
          <w:color w:val="000000"/>
          <w:sz w:val="22"/>
          <w:szCs w:val="20"/>
        </w:rPr>
        <w:t>2.中标通知书</w:t>
      </w:r>
    </w:p>
    <w:p>
      <w:pPr>
        <w:pStyle w:val="140"/>
        <w:spacing w:before="0" w:after="0" w:line="360" w:lineRule="exact"/>
        <w:ind w:firstLine="440"/>
        <w:jc w:val="both"/>
      </w:pPr>
      <w:r>
        <w:rPr>
          <w:rFonts w:ascii="宋体;SimSun" w:hAnsi="宋体;SimSun" w:eastAsia="宋体;SimSun" w:cs="宋体;SimSun"/>
          <w:color w:val="000000"/>
          <w:sz w:val="22"/>
          <w:szCs w:val="20"/>
        </w:rPr>
        <w:t>3.招标文件</w:t>
      </w:r>
    </w:p>
    <w:p>
      <w:pPr>
        <w:pStyle w:val="140"/>
        <w:spacing w:before="0" w:after="0" w:line="360" w:lineRule="exact"/>
        <w:ind w:firstLine="440"/>
        <w:jc w:val="both"/>
      </w:pPr>
      <w:r>
        <w:rPr>
          <w:rFonts w:ascii="宋体;SimSun" w:hAnsi="宋体;SimSun" w:eastAsia="宋体;SimSun" w:cs="宋体;SimSun"/>
          <w:color w:val="000000"/>
          <w:sz w:val="22"/>
          <w:szCs w:val="20"/>
        </w:rPr>
        <w:t>4.投标书及其附件</w:t>
      </w:r>
    </w:p>
    <w:p>
      <w:pPr>
        <w:pStyle w:val="140"/>
        <w:spacing w:before="0" w:after="0" w:line="360" w:lineRule="exact"/>
        <w:ind w:firstLine="440"/>
        <w:jc w:val="both"/>
      </w:pPr>
      <w:r>
        <w:rPr>
          <w:rFonts w:ascii="宋体;SimSun" w:hAnsi="宋体;SimSun" w:eastAsia="宋体;SimSun" w:cs="宋体;SimSun"/>
          <w:color w:val="000000"/>
          <w:sz w:val="22"/>
          <w:szCs w:val="20"/>
        </w:rPr>
        <w:t>5.标准、规范及有关技术文件</w:t>
      </w:r>
    </w:p>
    <w:p>
      <w:pPr>
        <w:spacing w:line="360" w:lineRule="exact"/>
        <w:ind w:firstLine="442"/>
        <w:rPr>
          <w:rFonts w:hint="eastAsia" w:ascii="宋体;SimSun" w:hAnsi="宋体;SimSun" w:cs="宋体;SimSun"/>
          <w:b/>
          <w:sz w:val="22"/>
        </w:rPr>
      </w:pPr>
      <w:r>
        <w:rPr>
          <w:rFonts w:ascii="宋体;SimSun" w:hAnsi="宋体;SimSun" w:cs="宋体;SimSun"/>
          <w:b/>
          <w:sz w:val="22"/>
        </w:rPr>
        <w:t>十</w:t>
      </w:r>
      <w:r>
        <w:rPr>
          <w:rFonts w:hint="eastAsia" w:ascii="宋体;SimSun" w:hAnsi="宋体;SimSun" w:cs="宋体;SimSun"/>
          <w:b/>
          <w:sz w:val="22"/>
        </w:rPr>
        <w:t>二</w:t>
      </w:r>
      <w:r>
        <w:rPr>
          <w:rFonts w:ascii="宋体;SimSun" w:hAnsi="宋体;SimSun" w:cs="宋体;SimSun"/>
          <w:b/>
          <w:sz w:val="22"/>
        </w:rPr>
        <w:t>、合同生效及其它</w:t>
      </w:r>
    </w:p>
    <w:p>
      <w:pPr>
        <w:spacing w:line="360" w:lineRule="exact"/>
        <w:ind w:firstLine="440"/>
      </w:pPr>
      <w:r>
        <w:rPr>
          <w:rFonts w:ascii="宋体;SimSun" w:hAnsi="宋体;SimSun" w:cs="宋体;SimSun"/>
          <w:color w:val="000000"/>
          <w:sz w:val="22"/>
          <w:szCs w:val="20"/>
        </w:rPr>
        <w:t>1.合同经双方法定代表人或授权代表签字并加盖单位公章之日起生效。</w:t>
      </w:r>
    </w:p>
    <w:p>
      <w:pPr>
        <w:spacing w:line="360" w:lineRule="exact"/>
        <w:ind w:firstLine="440"/>
      </w:pPr>
      <w:r>
        <w:rPr>
          <w:rFonts w:ascii="宋体;SimSun" w:hAnsi="宋体;SimSun" w:cs="宋体;SimSun"/>
          <w:color w:val="000000"/>
          <w:sz w:val="22"/>
          <w:szCs w:val="20"/>
        </w:rPr>
        <w:t>2.本合同未尽事宜，双方可签订补充协议予以执行；未达成补充协议的，遵照《合同法》及有关法律法规执行。</w:t>
      </w:r>
    </w:p>
    <w:p>
      <w:pPr>
        <w:pStyle w:val="140"/>
        <w:spacing w:before="0" w:after="0" w:line="360" w:lineRule="exact"/>
        <w:ind w:firstLine="440"/>
        <w:jc w:val="both"/>
      </w:pPr>
      <w:r>
        <w:rPr>
          <w:rFonts w:ascii="宋体;SimSun" w:hAnsi="宋体;SimSun" w:eastAsia="宋体;SimSun" w:cs="宋体;SimSun"/>
          <w:color w:val="000000"/>
          <w:sz w:val="22"/>
          <w:szCs w:val="20"/>
        </w:rPr>
        <w:t>3.本合同正本一式陆份，甲方执肆份，乙方持贰份，具有同等法律效力。</w:t>
      </w:r>
    </w:p>
    <w:p>
      <w:pPr>
        <w:pStyle w:val="140"/>
        <w:spacing w:before="0" w:after="0" w:line="360" w:lineRule="exact"/>
        <w:jc w:val="both"/>
        <w:rPr>
          <w:rFonts w:ascii="宋体;SimSun" w:hAnsi="宋体;SimSun" w:eastAsia="宋体;SimSun" w:cs="宋体;SimSun"/>
          <w:color w:val="000000"/>
          <w:sz w:val="22"/>
          <w:szCs w:val="20"/>
        </w:rPr>
      </w:pPr>
    </w:p>
    <w:p>
      <w:pPr>
        <w:pStyle w:val="140"/>
        <w:spacing w:before="0" w:after="0" w:line="360" w:lineRule="exact"/>
        <w:jc w:val="both"/>
        <w:rPr>
          <w:rFonts w:ascii="宋体;SimSun" w:hAnsi="宋体;SimSun" w:eastAsia="宋体;SimSun" w:cs="宋体;SimSun"/>
          <w:color w:val="000000"/>
          <w:sz w:val="22"/>
          <w:szCs w:val="20"/>
        </w:rPr>
      </w:pPr>
    </w:p>
    <w:p>
      <w:pPr>
        <w:snapToGrid w:val="0"/>
        <w:spacing w:line="360" w:lineRule="exact"/>
        <w:jc w:val="left"/>
        <w:rPr>
          <w:rFonts w:hint="eastAsia" w:ascii="宋体;SimSun" w:hAnsi="宋体;SimSun" w:cs="宋体;SimSun"/>
          <w:sz w:val="22"/>
        </w:rPr>
      </w:pPr>
      <w:r>
        <w:rPr>
          <w:rFonts w:ascii="宋体;SimSun" w:hAnsi="宋体;SimSun" w:cs="宋体;SimSun"/>
          <w:sz w:val="22"/>
        </w:rPr>
        <w:t xml:space="preserve">甲方：杭州萧山国际机场有限公司            乙方： </w:t>
      </w:r>
    </w:p>
    <w:p>
      <w:pPr>
        <w:snapToGrid w:val="0"/>
        <w:spacing w:line="360" w:lineRule="exact"/>
        <w:ind w:left="6750" w:hanging="6750"/>
        <w:jc w:val="left"/>
        <w:rPr>
          <w:rFonts w:hint="eastAsia" w:ascii="宋体;SimSun" w:hAnsi="宋体;SimSun" w:cs="宋体;SimSun"/>
          <w:sz w:val="22"/>
        </w:rPr>
      </w:pPr>
      <w:r>
        <w:rPr>
          <w:rFonts w:ascii="宋体;SimSun" w:hAnsi="宋体;SimSun" w:cs="宋体;SimSun"/>
          <w:sz w:val="22"/>
        </w:rPr>
        <w:t xml:space="preserve">地址：杭州萧山国际机场内                  地址： </w:t>
      </w:r>
    </w:p>
    <w:p>
      <w:pPr>
        <w:snapToGrid w:val="0"/>
        <w:spacing w:line="360" w:lineRule="exact"/>
        <w:ind w:left="6750" w:hanging="6750"/>
        <w:jc w:val="left"/>
        <w:rPr>
          <w:rFonts w:hint="eastAsia" w:ascii="宋体;SimSun" w:hAnsi="宋体;SimSun" w:cs="宋体;SimSun"/>
          <w:sz w:val="22"/>
        </w:rPr>
      </w:pPr>
    </w:p>
    <w:p>
      <w:pPr>
        <w:snapToGrid w:val="0"/>
        <w:spacing w:line="360" w:lineRule="exact"/>
        <w:jc w:val="left"/>
        <w:rPr>
          <w:rFonts w:hint="eastAsia" w:ascii="宋体;SimSun" w:hAnsi="宋体;SimSun" w:cs="宋体;SimSun"/>
          <w:sz w:val="22"/>
        </w:rPr>
      </w:pPr>
      <w:r>
        <w:rPr>
          <w:rFonts w:ascii="宋体;SimSun" w:hAnsi="宋体;SimSun" w:cs="宋体;SimSun"/>
          <w:sz w:val="22"/>
        </w:rPr>
        <w:t>法定代表人（签字）：                       法定代表人（签字）：</w:t>
      </w:r>
    </w:p>
    <w:p>
      <w:pPr>
        <w:snapToGrid w:val="0"/>
        <w:spacing w:line="360" w:lineRule="exact"/>
        <w:jc w:val="left"/>
        <w:rPr>
          <w:rFonts w:hint="eastAsia" w:ascii="宋体;SimSun" w:hAnsi="宋体;SimSun" w:cs="宋体;SimSun"/>
          <w:sz w:val="22"/>
        </w:rPr>
      </w:pPr>
      <w:r>
        <w:rPr>
          <w:rFonts w:ascii="宋体;SimSun" w:hAnsi="宋体;SimSun" w:cs="宋体;SimSun"/>
          <w:sz w:val="22"/>
        </w:rPr>
        <w:t>或                                        或</w:t>
      </w:r>
    </w:p>
    <w:p>
      <w:pPr>
        <w:snapToGrid w:val="0"/>
        <w:spacing w:line="360" w:lineRule="exact"/>
        <w:jc w:val="left"/>
        <w:rPr>
          <w:rFonts w:hint="eastAsia" w:ascii="宋体;SimSun" w:hAnsi="宋体;SimSun" w:cs="宋体;SimSun"/>
          <w:sz w:val="22"/>
        </w:rPr>
      </w:pPr>
      <w:r>
        <w:rPr>
          <w:rFonts w:ascii="宋体;SimSun" w:hAnsi="宋体;SimSun" w:cs="宋体;SimSun"/>
          <w:sz w:val="22"/>
        </w:rPr>
        <w:t>授权代表（签字）：                         授权代表（签字）：</w:t>
      </w:r>
    </w:p>
    <w:p>
      <w:pPr>
        <w:snapToGrid w:val="0"/>
        <w:spacing w:line="360" w:lineRule="exact"/>
        <w:jc w:val="left"/>
        <w:rPr>
          <w:rFonts w:hint="eastAsia" w:ascii="宋体;SimSun" w:hAnsi="宋体;SimSun" w:cs="宋体;SimSun"/>
          <w:sz w:val="22"/>
        </w:rPr>
      </w:pPr>
      <w:r>
        <w:rPr>
          <w:rFonts w:ascii="宋体;SimSun" w:hAnsi="宋体;SimSun" w:cs="宋体;SimSun"/>
          <w:sz w:val="22"/>
        </w:rPr>
        <w:t xml:space="preserve">签字日期：                                签字日期： </w:t>
      </w:r>
    </w:p>
    <w:p>
      <w:pPr>
        <w:snapToGrid w:val="0"/>
        <w:spacing w:line="360" w:lineRule="exact"/>
        <w:ind w:firstLine="440"/>
        <w:jc w:val="left"/>
        <w:rPr>
          <w:rFonts w:hint="eastAsia" w:ascii="宋体;SimSun" w:hAnsi="宋体;SimSun" w:cs="宋体;SimSun"/>
          <w:sz w:val="22"/>
        </w:rPr>
      </w:pPr>
      <w:r>
        <w:rPr>
          <w:rFonts w:ascii="宋体;SimSun" w:hAnsi="宋体;SimSun" w:cs="宋体;SimSun"/>
          <w:sz w:val="22"/>
        </w:rPr>
        <w:t>年  月  日                              年  月  日</w:t>
      </w:r>
      <w:r>
        <w:br w:type="page"/>
      </w:r>
    </w:p>
    <w:p>
      <w:pPr>
        <w:widowControl/>
        <w:jc w:val="left"/>
        <w:rPr>
          <w:rFonts w:hint="eastAsia" w:ascii="宋体;SimSun" w:hAnsi="宋体;SimSun" w:cs="宋体;SimSun"/>
          <w:sz w:val="22"/>
        </w:rPr>
      </w:pPr>
    </w:p>
    <w:p>
      <w:pPr>
        <w:snapToGrid w:val="0"/>
        <w:spacing w:line="360" w:lineRule="exact"/>
        <w:ind w:firstLine="440"/>
        <w:jc w:val="left"/>
        <w:rPr>
          <w:rFonts w:hint="eastAsia" w:ascii="宋体;SimSun" w:hAnsi="宋体;SimSun" w:cs="宋体;SimSun"/>
          <w:sz w:val="22"/>
        </w:rPr>
      </w:pPr>
    </w:p>
    <w:p>
      <w:pPr>
        <w:snapToGrid w:val="0"/>
        <w:spacing w:line="560" w:lineRule="exact"/>
        <w:jc w:val="left"/>
        <w:rPr>
          <w:rFonts w:ascii="仿宋_GB2312;微软雅黑" w:hAnsi="仿宋_GB2312;微软雅黑" w:eastAsia="仿宋_GB2312;微软雅黑" w:cs="仿宋_GB2312;微软雅黑"/>
          <w:b/>
          <w:color w:val="000000"/>
          <w:sz w:val="30"/>
          <w:szCs w:val="30"/>
        </w:rPr>
      </w:pPr>
      <w:r>
        <w:rPr>
          <w:rFonts w:ascii="仿宋_GB2312;微软雅黑" w:hAnsi="仿宋_GB2312;微软雅黑" w:eastAsia="仿宋_GB2312;微软雅黑" w:cs="仿宋_GB2312;微软雅黑"/>
          <w:b/>
          <w:color w:val="000000"/>
          <w:sz w:val="30"/>
          <w:szCs w:val="30"/>
        </w:rPr>
        <w:t>附件</w:t>
      </w:r>
      <w:r>
        <w:rPr>
          <w:rFonts w:hint="eastAsia" w:ascii="仿宋_GB2312;微软雅黑" w:hAnsi="仿宋_GB2312;微软雅黑" w:eastAsia="仿宋_GB2312;微软雅黑" w:cs="仿宋_GB2312;微软雅黑"/>
          <w:b/>
          <w:color w:val="000000"/>
          <w:sz w:val="30"/>
          <w:szCs w:val="30"/>
        </w:rPr>
        <w:t>一</w:t>
      </w:r>
      <w:r>
        <w:rPr>
          <w:rFonts w:ascii="仿宋_GB2312;微软雅黑" w:hAnsi="仿宋_GB2312;微软雅黑" w:eastAsia="仿宋_GB2312;微软雅黑" w:cs="仿宋_GB2312;微软雅黑"/>
          <w:b/>
          <w:color w:val="000000"/>
          <w:sz w:val="30"/>
          <w:szCs w:val="30"/>
        </w:rPr>
        <w:t>：</w:t>
      </w:r>
    </w:p>
    <w:p>
      <w:pPr>
        <w:adjustRightInd w:val="0"/>
        <w:snapToGrid w:val="0"/>
        <w:spacing w:line="400" w:lineRule="exact"/>
        <w:jc w:val="center"/>
        <w:rPr>
          <w:rFonts w:ascii="宋体" w:hAnsi="宋体" w:cs="Arial"/>
          <w:b/>
          <w:sz w:val="36"/>
          <w:szCs w:val="21"/>
        </w:rPr>
      </w:pPr>
      <w:bookmarkStart w:id="114" w:name="_Hlk18325715"/>
      <w:r>
        <w:rPr>
          <w:rFonts w:hint="eastAsia" w:ascii="宋体" w:hAnsi="宋体" w:cs="Arial"/>
          <w:b/>
          <w:sz w:val="36"/>
          <w:szCs w:val="21"/>
        </w:rPr>
        <w:t>廉洁自律承诺书</w:t>
      </w:r>
    </w:p>
    <w:bookmarkEnd w:id="114"/>
    <w:p>
      <w:pPr>
        <w:pStyle w:val="128"/>
        <w:adjustRightInd w:val="0"/>
        <w:snapToGrid w:val="0"/>
        <w:ind w:firstLine="0" w:firstLineChars="0"/>
        <w:jc w:val="left"/>
        <w:rPr>
          <w:rFonts w:ascii="宋体" w:hAnsi="宋体"/>
          <w:b/>
          <w:szCs w:val="24"/>
        </w:rPr>
      </w:pPr>
      <w:r>
        <w:rPr>
          <w:rFonts w:hint="eastAsia" w:ascii="宋体" w:hAnsi="宋体"/>
          <w:b/>
          <w:szCs w:val="24"/>
        </w:rPr>
        <w:t>杭州萧山国际机场有限公司：</w:t>
      </w:r>
    </w:p>
    <w:p>
      <w:pPr>
        <w:pStyle w:val="128"/>
        <w:adjustRightInd w:val="0"/>
        <w:snapToGrid w:val="0"/>
        <w:ind w:firstLine="480"/>
        <w:jc w:val="left"/>
        <w:rPr>
          <w:rFonts w:ascii="宋体" w:hAnsi="宋体"/>
          <w:szCs w:val="24"/>
        </w:rPr>
      </w:pPr>
      <w:r>
        <w:rPr>
          <w:rFonts w:hint="eastAsia" w:ascii="宋体" w:hAnsi="宋体"/>
          <w:szCs w:val="24"/>
        </w:rPr>
        <w:t>我单位响应贵公司项目招标要求，参加项目投标。在投标过程中及中标后，我们将严格遵守国家法律法规和贵司招标文件要求，并郑重作出如下承诺和保证：</w:t>
      </w:r>
    </w:p>
    <w:p>
      <w:pPr>
        <w:pStyle w:val="128"/>
        <w:adjustRightInd w:val="0"/>
        <w:snapToGrid w:val="0"/>
        <w:ind w:firstLine="480"/>
        <w:jc w:val="left"/>
        <w:rPr>
          <w:rFonts w:ascii="宋体" w:hAnsi="宋体"/>
          <w:szCs w:val="24"/>
        </w:rPr>
      </w:pPr>
      <w:r>
        <w:rPr>
          <w:rFonts w:hint="eastAsia" w:ascii="宋体" w:hAnsi="宋体"/>
          <w:szCs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128"/>
        <w:adjustRightInd w:val="0"/>
        <w:snapToGrid w:val="0"/>
        <w:ind w:firstLine="480"/>
        <w:jc w:val="left"/>
        <w:rPr>
          <w:rFonts w:ascii="宋体" w:hAnsi="宋体"/>
          <w:szCs w:val="24"/>
        </w:rPr>
      </w:pPr>
      <w:r>
        <w:rPr>
          <w:rFonts w:hint="eastAsia" w:ascii="宋体" w:hAnsi="宋体"/>
          <w:szCs w:val="24"/>
        </w:rPr>
        <w:t>二、不以任何名义为贵公司有关人员或项目第三方人员报销应由贵公司或个人支付的费用；</w:t>
      </w:r>
    </w:p>
    <w:p>
      <w:pPr>
        <w:pStyle w:val="128"/>
        <w:adjustRightInd w:val="0"/>
        <w:snapToGrid w:val="0"/>
        <w:ind w:firstLine="480"/>
        <w:jc w:val="left"/>
        <w:rPr>
          <w:rFonts w:ascii="宋体" w:hAnsi="宋体"/>
          <w:szCs w:val="24"/>
        </w:rPr>
      </w:pPr>
      <w:r>
        <w:rPr>
          <w:rFonts w:hint="eastAsia" w:ascii="宋体" w:hAnsi="宋体"/>
          <w:szCs w:val="24"/>
        </w:rPr>
        <w:t>三、不向贵公司有关人员或项目第三方人员提供宴请、旅游、和健身娱乐等活动；</w:t>
      </w:r>
    </w:p>
    <w:p>
      <w:pPr>
        <w:pStyle w:val="128"/>
        <w:adjustRightInd w:val="0"/>
        <w:snapToGrid w:val="0"/>
        <w:ind w:firstLine="480"/>
        <w:jc w:val="left"/>
        <w:rPr>
          <w:rFonts w:ascii="宋体" w:hAnsi="宋体"/>
          <w:szCs w:val="24"/>
        </w:rPr>
      </w:pPr>
      <w:r>
        <w:rPr>
          <w:rFonts w:hint="eastAsia" w:ascii="宋体" w:hAnsi="宋体"/>
          <w:szCs w:val="24"/>
        </w:rPr>
        <w:t>四、不为贵公司有关人员或项目第三方人员出国（境）、旅游等提供方便；</w:t>
      </w:r>
    </w:p>
    <w:p>
      <w:pPr>
        <w:pStyle w:val="128"/>
        <w:adjustRightInd w:val="0"/>
        <w:snapToGrid w:val="0"/>
        <w:ind w:firstLine="480"/>
        <w:jc w:val="left"/>
        <w:rPr>
          <w:rFonts w:ascii="宋体" w:hAnsi="宋体"/>
          <w:szCs w:val="24"/>
        </w:rPr>
      </w:pPr>
      <w:r>
        <w:rPr>
          <w:rFonts w:hint="eastAsia" w:ascii="宋体" w:hAnsi="宋体"/>
          <w:szCs w:val="24"/>
        </w:rPr>
        <w:t>五、不为贵公司有关人员或项目第三方人员个人装修住房、婚丧嫁娶、配偶子女工作安排等提供好处或便利条件；</w:t>
      </w:r>
    </w:p>
    <w:p>
      <w:pPr>
        <w:pStyle w:val="128"/>
        <w:adjustRightInd w:val="0"/>
        <w:snapToGrid w:val="0"/>
        <w:ind w:firstLine="480"/>
        <w:jc w:val="left"/>
        <w:rPr>
          <w:rFonts w:ascii="宋体" w:hAnsi="宋体"/>
          <w:szCs w:val="24"/>
        </w:rPr>
      </w:pPr>
      <w:r>
        <w:rPr>
          <w:rFonts w:hint="eastAsia" w:ascii="宋体" w:hAnsi="宋体"/>
          <w:szCs w:val="24"/>
        </w:rPr>
        <w:t>六、严格遵守国家招标投标法、合同法等法律规定，诚实守信，合法经营，坚决杜绝各种违法违纪行为。</w:t>
      </w:r>
    </w:p>
    <w:p>
      <w:pPr>
        <w:pStyle w:val="128"/>
        <w:adjustRightInd w:val="0"/>
        <w:snapToGrid w:val="0"/>
        <w:ind w:firstLine="480"/>
        <w:jc w:val="left"/>
        <w:rPr>
          <w:rFonts w:ascii="宋体" w:hAnsi="宋体"/>
          <w:szCs w:val="24"/>
        </w:rPr>
      </w:pPr>
      <w:r>
        <w:rPr>
          <w:rFonts w:ascii="宋体" w:hAnsi="宋体"/>
          <w:szCs w:val="24"/>
        </w:rPr>
        <w:t>七</w:t>
      </w:r>
      <w:r>
        <w:rPr>
          <w:rFonts w:hint="eastAsia" w:ascii="宋体" w:hAnsi="宋体"/>
          <w:szCs w:val="24"/>
        </w:rPr>
        <w:t>、若发现贵公司有关人员或项目第三方人员有故意设置障碍或推诿刁难我方人员参与正常投标项目建设活动以索要好处等行为，我单位将及时向贵公司纪检监察部门举报，举报电话：</w:t>
      </w:r>
      <w:r>
        <w:rPr>
          <w:rFonts w:ascii="宋体" w:hAnsi="宋体"/>
          <w:szCs w:val="24"/>
        </w:rPr>
        <w:t>0571－86661113。</w:t>
      </w:r>
    </w:p>
    <w:p>
      <w:pPr>
        <w:pStyle w:val="128"/>
        <w:adjustRightInd w:val="0"/>
        <w:snapToGrid w:val="0"/>
        <w:ind w:firstLine="480"/>
        <w:jc w:val="left"/>
        <w:rPr>
          <w:rFonts w:ascii="宋体" w:hAnsi="宋体"/>
          <w:szCs w:val="24"/>
        </w:rPr>
      </w:pPr>
      <w:r>
        <w:rPr>
          <w:rFonts w:hint="eastAsia" w:ascii="宋体" w:hAnsi="宋体"/>
          <w:szCs w:val="24"/>
        </w:rPr>
        <w:t>八、如违反上述廉洁自律承诺，贵公司有权：</w:t>
      </w:r>
    </w:p>
    <w:p>
      <w:pPr>
        <w:pStyle w:val="128"/>
        <w:numPr>
          <w:ilvl w:val="0"/>
          <w:numId w:val="1"/>
        </w:numPr>
        <w:adjustRightInd w:val="0"/>
        <w:snapToGrid w:val="0"/>
        <w:ind w:firstLineChars="0"/>
        <w:jc w:val="left"/>
        <w:rPr>
          <w:rFonts w:ascii="宋体" w:hAnsi="宋体"/>
          <w:szCs w:val="24"/>
        </w:rPr>
      </w:pPr>
      <w:r>
        <w:rPr>
          <w:rFonts w:hint="eastAsia" w:ascii="宋体" w:hAnsi="宋体"/>
          <w:szCs w:val="24"/>
        </w:rPr>
        <w:t>立即取消我单位投标、中标或在建项目的实施资格；</w:t>
      </w:r>
    </w:p>
    <w:p>
      <w:pPr>
        <w:pStyle w:val="128"/>
        <w:numPr>
          <w:ilvl w:val="0"/>
          <w:numId w:val="1"/>
        </w:numPr>
        <w:adjustRightInd w:val="0"/>
        <w:snapToGrid w:val="0"/>
        <w:ind w:firstLineChars="0"/>
        <w:jc w:val="left"/>
        <w:rPr>
          <w:rFonts w:ascii="宋体" w:hAnsi="宋体"/>
          <w:szCs w:val="24"/>
        </w:rPr>
      </w:pPr>
      <w:r>
        <w:rPr>
          <w:rFonts w:hint="eastAsia" w:ascii="宋体" w:hAnsi="宋体"/>
          <w:szCs w:val="24"/>
        </w:rPr>
        <w:t>扣除我方向贵公司缴纳的履约保证金的</w:t>
      </w:r>
      <w:r>
        <w:rPr>
          <w:rFonts w:ascii="宋体" w:hAnsi="宋体"/>
          <w:szCs w:val="24"/>
        </w:rPr>
        <w:t>10%作为违反廉洁自律承诺的违约金。如该违约金不足以弥补贵公司损失的，我单位仍将承担实际损失赔偿责任。</w:t>
      </w:r>
    </w:p>
    <w:p>
      <w:pPr>
        <w:pStyle w:val="128"/>
        <w:numPr>
          <w:ilvl w:val="0"/>
          <w:numId w:val="1"/>
        </w:numPr>
        <w:adjustRightInd w:val="0"/>
        <w:snapToGrid w:val="0"/>
        <w:ind w:firstLineChars="0"/>
        <w:jc w:val="left"/>
        <w:rPr>
          <w:rFonts w:ascii="宋体" w:hAnsi="宋体"/>
          <w:szCs w:val="24"/>
        </w:rPr>
      </w:pPr>
      <w:r>
        <w:rPr>
          <w:rFonts w:hint="eastAsia" w:ascii="宋体" w:hAnsi="宋体"/>
          <w:szCs w:val="24"/>
        </w:rPr>
        <w:t>拒绝我单位在一定时期内进入贵公司进行项目建设或其它经营活动；</w:t>
      </w:r>
    </w:p>
    <w:p>
      <w:pPr>
        <w:pStyle w:val="128"/>
        <w:numPr>
          <w:ilvl w:val="0"/>
          <w:numId w:val="1"/>
        </w:numPr>
        <w:adjustRightInd w:val="0"/>
        <w:snapToGrid w:val="0"/>
        <w:ind w:firstLineChars="0"/>
        <w:jc w:val="left"/>
        <w:rPr>
          <w:rFonts w:ascii="宋体" w:hAnsi="宋体"/>
          <w:szCs w:val="24"/>
        </w:rPr>
      </w:pPr>
      <w:r>
        <w:rPr>
          <w:rFonts w:hint="eastAsia" w:ascii="宋体" w:hAnsi="宋体"/>
          <w:szCs w:val="24"/>
        </w:rPr>
        <w:t>由此引起的相应损失均由我单位承担。</w:t>
      </w:r>
    </w:p>
    <w:p>
      <w:pPr>
        <w:pStyle w:val="128"/>
        <w:adjustRightInd w:val="0"/>
        <w:snapToGrid w:val="0"/>
        <w:ind w:firstLine="480"/>
        <w:jc w:val="left"/>
        <w:rPr>
          <w:rFonts w:ascii="宋体" w:hAnsi="宋体"/>
          <w:szCs w:val="24"/>
        </w:rPr>
      </w:pPr>
    </w:p>
    <w:p>
      <w:pPr>
        <w:pStyle w:val="128"/>
        <w:adjustRightInd w:val="0"/>
        <w:snapToGrid w:val="0"/>
        <w:ind w:firstLine="480"/>
        <w:jc w:val="left"/>
        <w:rPr>
          <w:rFonts w:ascii="宋体" w:hAnsi="宋体"/>
          <w:szCs w:val="24"/>
        </w:rPr>
      </w:pPr>
      <w:r>
        <w:rPr>
          <w:rFonts w:hint="eastAsia" w:ascii="宋体" w:hAnsi="宋体"/>
          <w:szCs w:val="24"/>
        </w:rPr>
        <w:t>承诺人单位名称（盖章）：</w:t>
      </w:r>
      <w:r>
        <w:rPr>
          <w:rFonts w:ascii="宋体" w:hAnsi="宋体"/>
          <w:szCs w:val="24"/>
        </w:rPr>
        <w:t xml:space="preserve">            </w:t>
      </w:r>
    </w:p>
    <w:p>
      <w:pPr>
        <w:pStyle w:val="128"/>
        <w:adjustRightInd w:val="0"/>
        <w:snapToGrid w:val="0"/>
        <w:ind w:firstLine="480"/>
        <w:jc w:val="left"/>
        <w:rPr>
          <w:rFonts w:ascii="宋体" w:hAnsi="宋体"/>
          <w:szCs w:val="24"/>
        </w:rPr>
      </w:pPr>
      <w:r>
        <w:rPr>
          <w:rFonts w:hint="eastAsia" w:ascii="宋体" w:hAnsi="宋体"/>
          <w:szCs w:val="24"/>
        </w:rPr>
        <w:t>法定代表人</w:t>
      </w:r>
      <w:r>
        <w:rPr>
          <w:rFonts w:ascii="宋体" w:hAnsi="宋体"/>
          <w:szCs w:val="24"/>
        </w:rPr>
        <w:t xml:space="preserve"> ：                    </w:t>
      </w:r>
    </w:p>
    <w:p>
      <w:pPr>
        <w:pStyle w:val="128"/>
        <w:adjustRightInd w:val="0"/>
        <w:snapToGrid w:val="0"/>
        <w:ind w:firstLine="480"/>
        <w:jc w:val="left"/>
        <w:rPr>
          <w:rFonts w:ascii="宋体" w:hAnsi="宋体"/>
          <w:szCs w:val="24"/>
        </w:rPr>
      </w:pPr>
      <w:r>
        <w:rPr>
          <w:rFonts w:hint="eastAsia" w:ascii="宋体" w:hAnsi="宋体"/>
          <w:szCs w:val="24"/>
        </w:rPr>
        <w:t>或</w:t>
      </w:r>
      <w:r>
        <w:rPr>
          <w:rFonts w:ascii="宋体" w:hAnsi="宋体"/>
          <w:szCs w:val="24"/>
        </w:rPr>
        <w:t xml:space="preserve">                            </w:t>
      </w:r>
    </w:p>
    <w:p>
      <w:pPr>
        <w:pStyle w:val="128"/>
        <w:adjustRightInd w:val="0"/>
        <w:snapToGrid w:val="0"/>
        <w:ind w:firstLine="480"/>
        <w:jc w:val="left"/>
        <w:rPr>
          <w:rFonts w:ascii="宋体" w:hAnsi="宋体"/>
          <w:szCs w:val="24"/>
        </w:rPr>
      </w:pPr>
      <w:r>
        <w:rPr>
          <w:rFonts w:hint="eastAsia" w:ascii="宋体" w:hAnsi="宋体"/>
          <w:szCs w:val="24"/>
        </w:rPr>
        <w:t>委托代理人：</w:t>
      </w:r>
      <w:r>
        <w:rPr>
          <w:rFonts w:ascii="宋体" w:hAnsi="宋体"/>
          <w:szCs w:val="24"/>
        </w:rPr>
        <w:t xml:space="preserve">                   </w:t>
      </w:r>
    </w:p>
    <w:p>
      <w:pPr>
        <w:pStyle w:val="128"/>
        <w:adjustRightInd w:val="0"/>
        <w:snapToGrid w:val="0"/>
        <w:ind w:firstLine="482"/>
        <w:jc w:val="left"/>
        <w:rPr>
          <w:rFonts w:ascii="宋体" w:hAnsi="宋体"/>
          <w:b/>
          <w:szCs w:val="24"/>
        </w:rPr>
      </w:pPr>
    </w:p>
    <w:p>
      <w:pPr>
        <w:pStyle w:val="45"/>
        <w:rPr>
          <w:rFonts w:ascii="宋体" w:hAnsi="宋体"/>
          <w:b w:val="0"/>
          <w:sz w:val="24"/>
          <w:szCs w:val="24"/>
        </w:rPr>
      </w:pPr>
      <w:r>
        <w:rPr>
          <w:rFonts w:ascii="宋体" w:hAnsi="宋体"/>
          <w:b w:val="0"/>
          <w:sz w:val="24"/>
          <w:szCs w:val="24"/>
        </w:rPr>
        <w:t xml:space="preserve">                           年     月     日</w:t>
      </w:r>
    </w:p>
    <w:p>
      <w:pPr>
        <w:widowControl/>
        <w:jc w:val="left"/>
        <w:rPr>
          <w:rFonts w:cs="Calibri"/>
          <w:bCs/>
          <w:kern w:val="0"/>
          <w:sz w:val="20"/>
          <w:szCs w:val="32"/>
        </w:rPr>
      </w:pPr>
      <w:r>
        <w:rPr>
          <w:rFonts w:cs="Calibri"/>
          <w:bCs/>
          <w:szCs w:val="32"/>
        </w:rPr>
        <w:br w:type="page"/>
      </w:r>
    </w:p>
    <w:p>
      <w:pPr>
        <w:autoSpaceDE w:val="0"/>
        <w:autoSpaceDN w:val="0"/>
        <w:adjustRightInd w:val="0"/>
        <w:spacing w:line="360" w:lineRule="auto"/>
        <w:jc w:val="left"/>
        <w:rPr>
          <w:rFonts w:ascii="仿宋_GB2312" w:hAnsi="宋体" w:eastAsia="仿宋_GB2312" w:cs="宋体"/>
          <w:b/>
          <w:sz w:val="28"/>
          <w:szCs w:val="28"/>
        </w:rPr>
      </w:pPr>
      <w:r>
        <w:rPr>
          <w:rFonts w:hint="eastAsia" w:asciiTheme="minorEastAsia" w:hAnsiTheme="minorEastAsia" w:eastAsiaTheme="minorEastAsia" w:cstheme="minorEastAsia"/>
          <w:b/>
          <w:sz w:val="28"/>
          <w:szCs w:val="28"/>
        </w:rPr>
        <w:t>附件二：服务内容及技术标准</w:t>
      </w:r>
    </w:p>
    <w:p>
      <w:pPr>
        <w:pStyle w:val="45"/>
        <w:spacing w:line="5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一、服务内容和技术标准</w:t>
      </w:r>
    </w:p>
    <w:p>
      <w:pPr>
        <w:pStyle w:val="45"/>
        <w:spacing w:line="5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1、服务内容</w:t>
      </w:r>
    </w:p>
    <w:p>
      <w:pPr>
        <w:snapToGrid w:val="0"/>
        <w:spacing w:line="5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1.1定位设备</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包含定位设备、语言播报器和刷卡器，设备规格详见下面“硬件规格及技术指标”说明。</w:t>
      </w:r>
    </w:p>
    <w:p>
      <w:pPr>
        <w:snapToGrid w:val="0"/>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1.2车辆安监系统</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提供机坪车辆管理系统的服务。具体如下：</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asciiTheme="minorEastAsia" w:hAnsiTheme="minorEastAsia" w:eastAsiaTheme="minorEastAsia" w:cstheme="minorEastAsia"/>
          <w:sz w:val="24"/>
          <w:szCs w:val="24"/>
        </w:rPr>
        <w:t>1）账户服务：包括账户开设和监管车辆的信息维护；</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asciiTheme="minorEastAsia" w:hAnsiTheme="minorEastAsia" w:eastAsiaTheme="minorEastAsia" w:cstheme="minorEastAsia"/>
          <w:sz w:val="24"/>
          <w:szCs w:val="24"/>
        </w:rPr>
        <w:t>2）系统访问服务：提供公网访问的网址或IP地址，以便甲方访问使用安监服务；</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asciiTheme="minorEastAsia" w:hAnsiTheme="minorEastAsia" w:eastAsiaTheme="minorEastAsia" w:cstheme="minorEastAsia"/>
          <w:sz w:val="24"/>
          <w:szCs w:val="24"/>
        </w:rPr>
        <w:t>3）安监服务：提供对所有车辆运行的安全监管功能，如车辆实时位置、超速报警、报表等，具体功能见“车辆安全运营监管系统功能列表”。</w:t>
      </w:r>
    </w:p>
    <w:p>
      <w:pPr>
        <w:snapToGrid w:val="0"/>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1.3数据存储</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提供最近六个月服务涉及的车辆历史数据的存储。</w:t>
      </w:r>
    </w:p>
    <w:p>
      <w:pPr>
        <w:snapToGrid w:val="0"/>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1.4通信服务</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提供车辆定位设备与服务器通信时的所有数据通信服务费用。</w:t>
      </w:r>
    </w:p>
    <w:p>
      <w:pPr>
        <w:snapToGrid w:val="0"/>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1.5安装服务</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由乙方到甲方现场进行设备的车辆安装。</w:t>
      </w:r>
    </w:p>
    <w:p>
      <w:pPr>
        <w:snapToGrid w:val="0"/>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1.6售后服务</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售后服务包括如下内容：</w:t>
      </w:r>
    </w:p>
    <w:p>
      <w:pPr>
        <w:snapToGrid w:val="0"/>
        <w:spacing w:line="360" w:lineRule="exact"/>
        <w:rPr>
          <w:rFonts w:asciiTheme="minorEastAsia" w:hAnsiTheme="minorEastAsia" w:eastAsiaTheme="minorEastAsia" w:cstheme="minorEastAsia"/>
          <w:b/>
          <w:sz w:val="24"/>
          <w:szCs w:val="24"/>
        </w:rPr>
      </w:pPr>
      <w:r>
        <w:rPr>
          <w:rFonts w:asciiTheme="minorEastAsia" w:hAnsiTheme="minorEastAsia" w:eastAsiaTheme="minorEastAsia" w:cstheme="minorEastAsia"/>
          <w:b/>
          <w:sz w:val="24"/>
          <w:szCs w:val="24"/>
        </w:rPr>
        <w:t>1.6.1定位设备的服务：</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asciiTheme="minorEastAsia" w:hAnsiTheme="minorEastAsia" w:eastAsiaTheme="minorEastAsia" w:cstheme="minorEastAsia"/>
          <w:sz w:val="24"/>
          <w:szCs w:val="24"/>
        </w:rPr>
        <w:t>1）对租赁期内硬件免费保修（人为损坏除外）；</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asciiTheme="minorEastAsia" w:hAnsiTheme="minorEastAsia" w:eastAsiaTheme="minorEastAsia" w:cstheme="minorEastAsia"/>
          <w:sz w:val="24"/>
          <w:szCs w:val="24"/>
        </w:rPr>
        <w:t>2）提供1台备用设备，确保及时更换；</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asciiTheme="minorEastAsia" w:hAnsiTheme="minorEastAsia" w:eastAsiaTheme="minorEastAsia" w:cstheme="minorEastAsia"/>
          <w:sz w:val="24"/>
          <w:szCs w:val="24"/>
        </w:rPr>
        <w:t>3）更换后的故障设备由甲方发给乙方，乙方修复后发回甲方。邮寄费用由各自承担；</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asciiTheme="minorEastAsia" w:hAnsiTheme="minorEastAsia" w:eastAsiaTheme="minorEastAsia" w:cstheme="minorEastAsia"/>
          <w:sz w:val="24"/>
          <w:szCs w:val="24"/>
        </w:rPr>
        <w:t>4）如故障设备属于人为损坏，则需由甲方支付维修费用。</w:t>
      </w:r>
    </w:p>
    <w:p>
      <w:pPr>
        <w:snapToGrid w:val="0"/>
        <w:spacing w:line="360" w:lineRule="exact"/>
        <w:rPr>
          <w:rFonts w:asciiTheme="minorEastAsia" w:hAnsiTheme="minorEastAsia" w:eastAsiaTheme="minorEastAsia" w:cstheme="minorEastAsia"/>
          <w:b/>
          <w:sz w:val="24"/>
          <w:szCs w:val="24"/>
        </w:rPr>
      </w:pPr>
      <w:r>
        <w:rPr>
          <w:rFonts w:asciiTheme="minorEastAsia" w:hAnsiTheme="minorEastAsia" w:eastAsiaTheme="minorEastAsia" w:cstheme="minorEastAsia"/>
          <w:b/>
          <w:sz w:val="24"/>
          <w:szCs w:val="24"/>
        </w:rPr>
        <w:t>1.6.2系统服务</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asciiTheme="minorEastAsia" w:hAnsiTheme="minorEastAsia" w:eastAsiaTheme="minorEastAsia" w:cstheme="minorEastAsia"/>
          <w:sz w:val="24"/>
          <w:szCs w:val="24"/>
        </w:rPr>
        <w:t>1）提供系统使用支持服务，包括账户管理、设备信息维护等；</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asciiTheme="minorEastAsia" w:hAnsiTheme="minorEastAsia" w:eastAsiaTheme="minorEastAsia" w:cstheme="minorEastAsia"/>
          <w:sz w:val="24"/>
          <w:szCs w:val="24"/>
        </w:rPr>
        <w:t>2）提供对使用设备的远程监控、诊断服务；</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asciiTheme="minorEastAsia" w:hAnsiTheme="minorEastAsia" w:eastAsiaTheme="minorEastAsia" w:cstheme="minorEastAsia"/>
          <w:sz w:val="24"/>
          <w:szCs w:val="24"/>
        </w:rPr>
        <w:t>3）提供甲方的数据的导出、备份服务。</w:t>
      </w:r>
    </w:p>
    <w:p>
      <w:pPr>
        <w:widowControl/>
        <w:jc w:val="left"/>
        <w:rPr>
          <w:rFonts w:asciiTheme="minorEastAsia" w:hAnsiTheme="minorEastAsia"/>
          <w:b/>
          <w:sz w:val="22"/>
        </w:rPr>
      </w:pPr>
      <w:r>
        <w:rPr>
          <w:rFonts w:asciiTheme="minorEastAsia" w:hAnsiTheme="minorEastAsia"/>
          <w:b/>
          <w:sz w:val="22"/>
        </w:rPr>
        <w:br w:type="page"/>
      </w:r>
    </w:p>
    <w:p>
      <w:pPr>
        <w:snapToGrid w:val="0"/>
        <w:spacing w:after="120" w:afterLines="50" w:line="360" w:lineRule="exact"/>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二、车辆安全运营监管功能列表</w:t>
      </w:r>
    </w:p>
    <w:tbl>
      <w:tblPr>
        <w:tblStyle w:val="53"/>
        <w:tblW w:w="9329" w:type="dxa"/>
        <w:tblInd w:w="-113" w:type="dxa"/>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
      <w:tblGrid>
        <w:gridCol w:w="775"/>
        <w:gridCol w:w="733"/>
        <w:gridCol w:w="2886"/>
        <w:gridCol w:w="4935"/>
      </w:tblGrid>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593" w:hRule="atLeast"/>
        </w:trPr>
        <w:tc>
          <w:tcPr>
            <w:tcW w:w="775" w:type="dxa"/>
            <w:tcBorders>
              <w:top w:val="single" w:color="000000" w:sz="4" w:space="0"/>
              <w:left w:val="single" w:color="000000" w:sz="4" w:space="0"/>
              <w:bottom w:val="single" w:color="000000" w:sz="4" w:space="0"/>
            </w:tcBorders>
            <w:shd w:val="clear" w:color="auto" w:fill="8DB3E2"/>
            <w:vAlign w:val="center"/>
          </w:tcPr>
          <w:p>
            <w:pPr>
              <w:tabs>
                <w:tab w:val="left" w:pos="420"/>
                <w:tab w:val="center" w:pos="1060"/>
              </w:tabs>
              <w:jc w:val="center"/>
              <w:rPr>
                <w:rFonts w:hint="eastAsia" w:ascii="宋体;SimSun" w:hAnsi="宋体;SimSun" w:cs="宋体;SimSun"/>
                <w:b/>
                <w:szCs w:val="21"/>
              </w:rPr>
            </w:pPr>
            <w:r>
              <w:rPr>
                <w:rFonts w:ascii="宋体;SimSun" w:hAnsi="宋体;SimSun" w:cs="宋体;SimSun"/>
                <w:b/>
                <w:szCs w:val="21"/>
              </w:rPr>
              <w:t>功能</w:t>
            </w:r>
          </w:p>
        </w:tc>
        <w:tc>
          <w:tcPr>
            <w:tcW w:w="733" w:type="dxa"/>
            <w:tcBorders>
              <w:top w:val="single" w:color="000000" w:sz="4" w:space="0"/>
              <w:left w:val="single" w:color="000000" w:sz="4" w:space="0"/>
              <w:bottom w:val="single" w:color="000000" w:sz="4" w:space="0"/>
            </w:tcBorders>
            <w:shd w:val="clear" w:color="auto" w:fill="8DB3E2"/>
            <w:vAlign w:val="center"/>
          </w:tcPr>
          <w:p>
            <w:pPr>
              <w:jc w:val="center"/>
              <w:rPr>
                <w:rFonts w:hint="eastAsia" w:ascii="宋体;SimSun" w:hAnsi="宋体;SimSun" w:cs="宋体;SimSun"/>
                <w:b/>
                <w:szCs w:val="21"/>
              </w:rPr>
            </w:pPr>
            <w:r>
              <w:rPr>
                <w:rFonts w:ascii="宋体;SimSun" w:hAnsi="宋体;SimSun" w:cs="宋体;SimSun"/>
                <w:b/>
                <w:szCs w:val="21"/>
              </w:rPr>
              <w:t>功能编号</w:t>
            </w:r>
          </w:p>
        </w:tc>
        <w:tc>
          <w:tcPr>
            <w:tcW w:w="2886" w:type="dxa"/>
            <w:tcBorders>
              <w:top w:val="single" w:color="000000" w:sz="4" w:space="0"/>
              <w:left w:val="single" w:color="000000" w:sz="4" w:space="0"/>
              <w:bottom w:val="single" w:color="000000" w:sz="4" w:space="0"/>
            </w:tcBorders>
            <w:shd w:val="clear" w:color="auto" w:fill="8DB3E2"/>
            <w:vAlign w:val="center"/>
          </w:tcPr>
          <w:p>
            <w:pPr>
              <w:jc w:val="center"/>
              <w:rPr>
                <w:rFonts w:hint="eastAsia" w:ascii="宋体;SimSun" w:hAnsi="宋体;SimSun" w:cs="宋体;SimSun"/>
                <w:b/>
                <w:szCs w:val="21"/>
              </w:rPr>
            </w:pPr>
            <w:r>
              <w:rPr>
                <w:rFonts w:ascii="宋体;SimSun" w:hAnsi="宋体;SimSun" w:cs="宋体;SimSun"/>
                <w:b/>
                <w:szCs w:val="21"/>
              </w:rPr>
              <w:t>功能描述</w:t>
            </w:r>
          </w:p>
        </w:tc>
        <w:tc>
          <w:tcPr>
            <w:tcW w:w="4935" w:type="dxa"/>
            <w:tcBorders>
              <w:top w:val="single" w:color="000000" w:sz="4" w:space="0"/>
              <w:left w:val="single" w:color="000000" w:sz="4" w:space="0"/>
              <w:bottom w:val="single" w:color="000000" w:sz="4" w:space="0"/>
              <w:right w:val="single" w:color="000000" w:sz="4" w:space="0"/>
            </w:tcBorders>
            <w:shd w:val="clear" w:color="auto" w:fill="8DB3E2"/>
            <w:vAlign w:val="center"/>
          </w:tcPr>
          <w:p>
            <w:pPr>
              <w:jc w:val="center"/>
              <w:rPr>
                <w:rFonts w:hint="eastAsia" w:ascii="宋体;SimSun" w:hAnsi="宋体;SimSun" w:cs="宋体;SimSun"/>
                <w:b/>
                <w:szCs w:val="21"/>
              </w:rPr>
            </w:pPr>
            <w:r>
              <w:rPr>
                <w:rFonts w:ascii="宋体;SimSun" w:hAnsi="宋体;SimSun" w:cs="宋体;SimSun"/>
                <w:b/>
                <w:szCs w:val="21"/>
              </w:rPr>
              <w:t>备注</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935" w:hRule="atLeast"/>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rPr>
                <w:szCs w:val="21"/>
              </w:rPr>
            </w:pPr>
            <w:r>
              <w:rPr>
                <w:rFonts w:hint="eastAsia" w:ascii="宋体;SimSun" w:hAnsi="宋体;SimSun" w:cs="宋体;SimSun"/>
                <w:szCs w:val="21"/>
              </w:rPr>
              <w:t>1、电子地图功能</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1.1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提供栅格电子地图、卫星影像地图浏览以及图层叠加服务</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rPr>
                <w:rFonts w:hint="eastAsia" w:ascii="宋体;SimSun" w:hAnsi="宋体;SimSun" w:cs="宋体;SimSun"/>
                <w:szCs w:val="21"/>
              </w:rPr>
            </w:pPr>
            <w:r>
              <w:rPr>
                <w:rFonts w:hint="eastAsia" w:ascii="宋体;SimSun" w:hAnsi="宋体;SimSun" w:cs="宋体;SimSun"/>
                <w:szCs w:val="21"/>
              </w:rPr>
              <w:t>1.2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提供任意角度的地图旋转功能</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适应机场实际情况和使用者的使用习惯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1.3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提供地图缩放、测距、测面等功能</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其中地图缩放功能要求，在指定的地图层级上显示或关闭用户自定义的地图信息点信息，以减少对地图信息点对车辆展示的干扰</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1.4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地图标注</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szCs w:val="21"/>
              </w:rPr>
            </w:pPr>
            <w:r>
              <w:rPr>
                <w:rFonts w:hint="eastAsia" w:ascii="宋体;SimSun" w:hAnsi="宋体;SimSun" w:cs="宋体;SimSun"/>
                <w:szCs w:val="21"/>
              </w:rPr>
              <w:t>使用者可自行在地图上进行点、线以及文字的标注，以满足新增信息点在地图上展示的需求</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1.5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机位标注</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根据机场机位分布情况，实现对机位的标注</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rPr>
                <w:szCs w:val="21"/>
              </w:rPr>
            </w:pPr>
            <w:r>
              <w:rPr>
                <w:rFonts w:hint="eastAsia" w:ascii="宋体;SimSun" w:hAnsi="宋体;SimSun" w:cs="宋体;SimSun"/>
                <w:szCs w:val="21"/>
              </w:rPr>
              <w:t>2、监控功能</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2.1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用户侧对平台访问网络状态监控</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需以明显的标识提示用户</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2.2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对账户全部车辆的展示</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2.3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车辆实时信息的展示</w:t>
            </w:r>
          </w:p>
        </w:tc>
        <w:tc>
          <w:tcPr>
            <w:tcW w:w="4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位置变化要即时在地图上展示，不接受定时刷新方式</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trike/>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2.4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车辆实时位置展示</w:t>
            </w:r>
          </w:p>
        </w:tc>
        <w:tc>
          <w:tcPr>
            <w:tcW w:w="4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2.5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车辆实时状态展示</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szCs w:val="21"/>
              </w:rPr>
            </w:pPr>
            <w:r>
              <w:rPr>
                <w:rFonts w:hint="eastAsia" w:ascii="宋体;SimSun" w:hAnsi="宋体;SimSun" w:cs="宋体;SimSun"/>
                <w:szCs w:val="21"/>
              </w:rPr>
              <w:t>包括点火状态、工作等多种状态</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2.6</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车辆位置查看</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szCs w:val="21"/>
              </w:rPr>
            </w:pPr>
            <w:r>
              <w:rPr>
                <w:rFonts w:hint="eastAsia" w:ascii="宋体;SimSun" w:hAnsi="宋体;SimSun" w:cs="宋体;SimSun"/>
                <w:szCs w:val="21"/>
              </w:rPr>
              <w:t>用户可通过鼠标点击或扫描车辆列表即可随动即时展示车辆的位置信息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2.7</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车辆列表和基础信息的实时更新</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2.8</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可对指定的展示区域进行查看</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2.9</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可对指定分类车辆进行查看</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2.10</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车辆报警信息的展示和定位</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包括所有的报警处理、车辆的出界等</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2.11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刷卡后车辆状态展示和相应的语音提示</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刷卡标识为登签成功，再次刷卡标识为退出登签</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72" w:hRule="atLeast"/>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rPr>
                <w:szCs w:val="21"/>
              </w:rPr>
            </w:pPr>
            <w:r>
              <w:rPr>
                <w:rFonts w:hint="eastAsia" w:ascii="宋体;SimSun" w:hAnsi="宋体;SimSun" w:cs="宋体;SimSun"/>
                <w:szCs w:val="21"/>
              </w:rPr>
              <w:t>3、指令下发</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3.1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文字信息</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通过文字播报器播出</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3.2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超速阈值</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3.3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停车超时阈值</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3.4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电子围栏规则</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需支持一次性下发所有围栏规则信息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3.5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播报器音量调节</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可根据实际情况增加或减少文字播报器的音量和语速</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3.6</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设备复位</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3.7</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升级指令</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实现对设备的远程升级</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55"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3.8</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里程初始化</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可对车辆里程进行初始化设置，便于车辆运行里程</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rPr>
                <w:szCs w:val="21"/>
              </w:rPr>
            </w:pPr>
            <w:r>
              <w:rPr>
                <w:rFonts w:hint="eastAsia" w:ascii="宋体;SimSun" w:hAnsi="宋体;SimSun" w:cs="宋体;SimSun"/>
                <w:szCs w:val="21"/>
              </w:rPr>
              <w:t>4、报警功能</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4.1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超速</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要求对首次超速时仅在车辆侧进行报警提示，如再次持续超速则同时上报平台</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4.2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超时停车</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要求对首次超时停车时仅在车辆侧进行报警提示，如再次持续超速则同时上报平台</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4.3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电子围栏</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见围栏功能说明</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4.4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疲劳驾驶</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rPr>
                <w:szCs w:val="21"/>
              </w:rPr>
            </w:pPr>
            <w:r>
              <w:rPr>
                <w:rFonts w:hint="eastAsia" w:ascii="宋体;SimSun" w:hAnsi="宋体;SimSun" w:cs="宋体;SimSun"/>
                <w:szCs w:val="21"/>
              </w:rPr>
              <w:t>5、围栏功能</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5.1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进入围栏报警</w:t>
            </w:r>
          </w:p>
        </w:tc>
        <w:tc>
          <w:tcPr>
            <w:tcW w:w="4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szCs w:val="21"/>
              </w:rPr>
            </w:pPr>
            <w:r>
              <w:rPr>
                <w:rFonts w:hint="eastAsia" w:ascii="宋体;SimSun" w:hAnsi="宋体;SimSun" w:cs="宋体;SimSun"/>
                <w:szCs w:val="21"/>
              </w:rPr>
              <w:t>可实现对进入/离开围栏信息的提示，包括XXX围栏或区域。提示需要通过文字播报方式在车辆端进行。此类报警需要记录在平台中。</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5.2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szCs w:val="21"/>
              </w:rPr>
            </w:pPr>
            <w:r>
              <w:rPr>
                <w:rFonts w:hint="eastAsia" w:ascii="宋体;SimSun" w:hAnsi="宋体;SimSun" w:cs="宋体;SimSun"/>
                <w:szCs w:val="21"/>
              </w:rPr>
              <w:t>离开围栏报警</w:t>
            </w:r>
          </w:p>
        </w:tc>
        <w:tc>
          <w:tcPr>
            <w:tcW w:w="4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5.3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szCs w:val="21"/>
              </w:rPr>
            </w:pPr>
            <w:r>
              <w:rPr>
                <w:rFonts w:hint="eastAsia" w:ascii="宋体;SimSun" w:hAnsi="宋体;SimSun" w:cs="宋体;SimSun"/>
                <w:szCs w:val="21"/>
              </w:rPr>
              <w:t>进出围栏皆报警</w:t>
            </w:r>
          </w:p>
        </w:tc>
        <w:tc>
          <w:tcPr>
            <w:tcW w:w="4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5.4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围栏内限速</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可指定围栏区域内的限速值，即进入围栏时对进入后的限速进行监控</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5.5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szCs w:val="21"/>
              </w:rPr>
            </w:pPr>
            <w:r>
              <w:rPr>
                <w:rFonts w:hint="eastAsia" w:ascii="宋体;SimSun" w:hAnsi="宋体;SimSun" w:cs="宋体;SimSun"/>
                <w:szCs w:val="21"/>
              </w:rPr>
              <w:t>STOP线提示</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szCs w:val="21"/>
              </w:rPr>
            </w:pPr>
            <w:r>
              <w:rPr>
                <w:rFonts w:hint="eastAsia" w:ascii="宋体;SimSun" w:hAnsi="宋体;SimSun" w:cs="宋体;SimSun"/>
                <w:szCs w:val="21"/>
              </w:rPr>
              <w:t>可对机场场内的STOP线进行车辆侧的语音提示</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612" w:hRule="atLeast"/>
        </w:trPr>
        <w:tc>
          <w:tcPr>
            <w:tcW w:w="775" w:type="dxa"/>
            <w:tcBorders>
              <w:top w:val="single" w:color="000000" w:sz="4" w:space="0"/>
              <w:left w:val="single" w:color="000000" w:sz="4" w:space="0"/>
              <w:bottom w:val="single" w:color="000000" w:sz="4" w:space="0"/>
            </w:tcBorders>
            <w:shd w:val="clear" w:color="auto" w:fill="auto"/>
            <w:vAlign w:val="center"/>
          </w:tcPr>
          <w:p>
            <w:pPr>
              <w:snapToGrid w:val="0"/>
              <w:jc w:val="center"/>
              <w:rPr>
                <w:szCs w:val="21"/>
              </w:rPr>
            </w:pPr>
            <w:r>
              <w:rPr>
                <w:rFonts w:hint="eastAsia" w:ascii="宋体;SimSun" w:hAnsi="宋体;SimSun" w:cs="宋体;SimSun"/>
                <w:szCs w:val="21"/>
              </w:rPr>
              <w:t>6、刷卡登签功能</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6</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szCs w:val="21"/>
              </w:rPr>
            </w:pPr>
            <w:r>
              <w:rPr>
                <w:rFonts w:hint="eastAsia" w:ascii="宋体;SimSun" w:hAnsi="宋体;SimSun" w:cs="宋体;SimSun"/>
                <w:szCs w:val="21"/>
              </w:rPr>
              <w:t>驾驶人可使用HID卡，在设备启动后进行登签操作，以表示当前驾驶人信息</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相关功能包括监控功能、驾驶人管理、统计查询功能等</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612" w:hRule="atLeast"/>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rPr>
                <w:szCs w:val="21"/>
              </w:rPr>
            </w:pPr>
            <w:r>
              <w:rPr>
                <w:rFonts w:hint="eastAsia" w:ascii="宋体;SimSun" w:hAnsi="宋体;SimSun" w:cs="宋体;SimSun"/>
                <w:szCs w:val="21"/>
              </w:rPr>
              <w:t>7、统计查询</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7.1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szCs w:val="21"/>
              </w:rPr>
            </w:pPr>
            <w:r>
              <w:rPr>
                <w:rFonts w:hint="eastAsia" w:ascii="宋体;SimSun" w:hAnsi="宋体;SimSun" w:cs="宋体;SimSun"/>
                <w:szCs w:val="21"/>
              </w:rPr>
              <w:t>轨迹回放（可以分时、分段进行）</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实现对指定车辆的历史轨迹回放。在有检测到刷卡时数据时，需要提醒刷卡人信息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7.2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历史报警</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查询设备的报警信息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7.3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调度短信</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查询设备的调度信息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7.4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调度指令</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查询设备的调度指令</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7.5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速度曲线</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查询设备的速度曲线</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7.6</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设备信息</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查询账户下设备信息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7.7</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离线信息</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查询账户下的设备离线信息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7.8</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运行统计</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查询账户下的设备运行统计信息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7.9</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区域查车</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szCs w:val="21"/>
              </w:rPr>
            </w:pPr>
            <w:r>
              <w:rPr>
                <w:rFonts w:hint="eastAsia" w:ascii="宋体;SimSun" w:hAnsi="宋体;SimSun" w:cs="宋体;SimSun"/>
                <w:szCs w:val="21"/>
              </w:rPr>
              <w:t>可在地图上任意指定的区域内，在任意指定的时间内查询途径此区域的车辆进入信息。在有检测到刷卡时数据时，需要提醒刷卡人信息</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30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7.10</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运行时序图</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可对车辆进行指定时间段内的运行时序查询（条形图），同时给出超出指定停车时间的信息筛选</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50" w:hRule="atLeast"/>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rPr>
                <w:szCs w:val="21"/>
              </w:rPr>
            </w:pPr>
            <w:r>
              <w:rPr>
                <w:rFonts w:hint="eastAsia" w:ascii="宋体;SimSun" w:hAnsi="宋体;SimSun" w:cs="宋体;SimSun"/>
                <w:szCs w:val="21"/>
              </w:rPr>
              <w:t>8、常用设置</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8.1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编辑分类</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可对车辆进行自定义分类</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17"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8.2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展示区域</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可在地图上标画展示区域</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191"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8.3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安监区域</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可在地图上标画安监区域，即电子围栏，区域限速等</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72"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jc w:val="center"/>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8.4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密码修改</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15" w:hRule="atLeast"/>
        </w:trPr>
        <w:tc>
          <w:tcPr>
            <w:tcW w:w="775" w:type="dxa"/>
            <w:tcBorders>
              <w:top w:val="single" w:color="000000" w:sz="4" w:space="0"/>
              <w:left w:val="single" w:color="000000" w:sz="4" w:space="0"/>
              <w:bottom w:val="single" w:color="000000" w:sz="4" w:space="0"/>
            </w:tcBorders>
            <w:shd w:val="clear" w:color="auto" w:fill="auto"/>
            <w:vAlign w:val="center"/>
          </w:tcPr>
          <w:p>
            <w:pPr>
              <w:snapToGrid w:val="0"/>
              <w:jc w:val="center"/>
              <w:rPr>
                <w:szCs w:val="21"/>
              </w:rPr>
            </w:pPr>
            <w:r>
              <w:rPr>
                <w:rFonts w:hint="eastAsia" w:ascii="宋体;SimSun" w:hAnsi="宋体;SimSun" w:cs="宋体;SimSun"/>
                <w:szCs w:val="21"/>
              </w:rPr>
              <w:t>9、驾驶人管理</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9</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szCs w:val="21"/>
              </w:rPr>
            </w:pPr>
            <w:r>
              <w:rPr>
                <w:rFonts w:hint="eastAsia" w:ascii="宋体;SimSun" w:hAnsi="宋体;SimSun" w:cs="宋体;SimSun"/>
                <w:szCs w:val="21"/>
              </w:rPr>
              <w:t>维护驾驶人和HID卡身份的管理功能，包括增、删、改、查等基本功能</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511" w:hRule="atLeast"/>
        </w:trPr>
        <w:tc>
          <w:tcPr>
            <w:tcW w:w="775" w:type="dxa"/>
            <w:vMerge w:val="restart"/>
            <w:tcBorders>
              <w:top w:val="single" w:color="000000" w:sz="4" w:space="0"/>
              <w:left w:val="single" w:color="000000" w:sz="4" w:space="0"/>
              <w:bottom w:val="single" w:color="000000" w:sz="4" w:space="0"/>
            </w:tcBorders>
            <w:shd w:val="clear" w:color="auto" w:fill="auto"/>
            <w:vAlign w:val="center"/>
          </w:tcPr>
          <w:p>
            <w:pPr>
              <w:snapToGrid w:val="0"/>
              <w:jc w:val="center"/>
              <w:rPr>
                <w:szCs w:val="21"/>
              </w:rPr>
            </w:pPr>
            <w:r>
              <w:rPr>
                <w:rFonts w:hint="eastAsia" w:ascii="宋体;SimSun" w:hAnsi="宋体;SimSun" w:cs="宋体;SimSun"/>
                <w:szCs w:val="21"/>
              </w:rPr>
              <w:t>10、本地设置</w:t>
            </w: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10.1</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可设置热点聚合方式和聚合数</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当账户下车辆数目多时，如超过指定的聚合数时，平台需要自动进行热点聚合处理，即根据车辆的分布进行自动聚合。用户可以选择聚合后的区域查看该区域下的车辆</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00"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10.2</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可设置是否显示标签</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可以显示或不显示车辆基础标签</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546"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10.3</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可设置显示标签的详细程度</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50"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10.4</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可设置报警声音播放开关</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98" w:type="dxa"/>
            <w:bottom w:w="0" w:type="dxa"/>
            <w:right w:w="108" w:type="dxa"/>
          </w:tblCellMar>
        </w:tblPrEx>
        <w:trPr>
          <w:cantSplit/>
          <w:trHeight w:val="450" w:hRule="atLeast"/>
        </w:trPr>
        <w:tc>
          <w:tcPr>
            <w:tcW w:w="775" w:type="dxa"/>
            <w:vMerge w:val="continue"/>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p>
        </w:tc>
        <w:tc>
          <w:tcPr>
            <w:tcW w:w="733" w:type="dxa"/>
            <w:tcBorders>
              <w:top w:val="single" w:color="000000" w:sz="4" w:space="0"/>
              <w:left w:val="single" w:color="000000" w:sz="4" w:space="0"/>
              <w:bottom w:val="single" w:color="000000" w:sz="4" w:space="0"/>
            </w:tcBorders>
            <w:shd w:val="clear" w:color="auto" w:fill="auto"/>
          </w:tcPr>
          <w:p>
            <w:pPr>
              <w:snapToGrid w:val="0"/>
              <w:rPr>
                <w:rFonts w:hint="eastAsia" w:ascii="宋体;SimSun" w:hAnsi="宋体;SimSun" w:cs="宋体;SimSun"/>
                <w:szCs w:val="21"/>
              </w:rPr>
            </w:pPr>
            <w:r>
              <w:rPr>
                <w:rFonts w:hint="eastAsia" w:ascii="宋体;SimSun" w:hAnsi="宋体;SimSun" w:cs="宋体;SimSun"/>
                <w:szCs w:val="21"/>
              </w:rPr>
              <w:t>10.5</w:t>
            </w:r>
          </w:p>
        </w:tc>
        <w:tc>
          <w:tcPr>
            <w:tcW w:w="2886" w:type="dxa"/>
            <w:tcBorders>
              <w:top w:val="single" w:color="000000" w:sz="4" w:space="0"/>
              <w:left w:val="single" w:color="000000" w:sz="4" w:space="0"/>
              <w:bottom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需保存用户已经设置成功的配置信息</w:t>
            </w:r>
          </w:p>
        </w:tc>
        <w:tc>
          <w:tcPr>
            <w:tcW w:w="493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SimSun" w:hAnsi="宋体;SimSun" w:cs="宋体;SimSun"/>
                <w:szCs w:val="21"/>
              </w:rPr>
            </w:pPr>
            <w:r>
              <w:rPr>
                <w:rFonts w:hint="eastAsia" w:ascii="宋体;SimSun" w:hAnsi="宋体;SimSun" w:cs="宋体;SimSun"/>
                <w:szCs w:val="21"/>
              </w:rPr>
              <w:t>包括地图旋转角度、电子地图类型，避免用户再次重复设置操作</w:t>
            </w:r>
          </w:p>
        </w:tc>
      </w:tr>
    </w:tbl>
    <w:p>
      <w:pPr>
        <w:snapToGrid w:val="0"/>
        <w:spacing w:line="500" w:lineRule="exact"/>
        <w:rPr>
          <w:rFonts w:asciiTheme="minorEastAsia" w:hAnsiTheme="minorEastAsia" w:eastAsiaTheme="minorEastAsia" w:cstheme="minorEastAsia"/>
          <w:b/>
          <w:bCs/>
          <w:kern w:val="0"/>
          <w:sz w:val="28"/>
          <w:szCs w:val="28"/>
        </w:rPr>
      </w:pPr>
      <w:r>
        <w:br w:type="page"/>
      </w:r>
      <w:r>
        <w:rPr>
          <w:rFonts w:hint="eastAsia" w:asciiTheme="minorEastAsia" w:hAnsiTheme="minorEastAsia" w:eastAsiaTheme="minorEastAsia" w:cstheme="minorEastAsia"/>
          <w:b/>
          <w:bCs/>
          <w:kern w:val="0"/>
          <w:sz w:val="28"/>
          <w:szCs w:val="28"/>
        </w:rPr>
        <w:t>三、硬件规格及技术指标</w:t>
      </w:r>
    </w:p>
    <w:p>
      <w:pPr>
        <w:snapToGrid w:val="0"/>
        <w:spacing w:line="500" w:lineRule="exact"/>
        <w:ind w:firstLine="42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1.定位设备</w:t>
      </w:r>
    </w:p>
    <w:p>
      <w:pPr>
        <w:snapToGrid w:val="0"/>
        <w:spacing w:line="500" w:lineRule="exact"/>
        <w:ind w:firstLine="420"/>
        <w:rPr>
          <w:rFonts w:hint="eastAsia" w:ascii="仿宋_GB2312" w:hAnsi="宋体;SimSun" w:eastAsia="仿宋_GB2312" w:cs="宋体;SimSun"/>
          <w:sz w:val="28"/>
          <w:szCs w:val="28"/>
        </w:rPr>
      </w:pPr>
      <w:r>
        <w:rPr>
          <w:rFonts w:hint="eastAsia" w:asciiTheme="minorEastAsia" w:hAnsiTheme="minorEastAsia" w:eastAsiaTheme="minorEastAsia" w:cstheme="minorEastAsia"/>
          <w:sz w:val="24"/>
          <w:szCs w:val="24"/>
        </w:rPr>
        <w:t>智能车载卫星定位终端</w:t>
      </w:r>
    </w:p>
    <w:tbl>
      <w:tblPr>
        <w:tblStyle w:val="53"/>
        <w:tblW w:w="9470" w:type="dxa"/>
        <w:tblInd w:w="-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98" w:type="dxa"/>
          <w:bottom w:w="0" w:type="dxa"/>
          <w:right w:w="108" w:type="dxa"/>
        </w:tblCellMar>
      </w:tblPr>
      <w:tblGrid>
        <w:gridCol w:w="94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98" w:type="dxa"/>
            <w:bottom w:w="0" w:type="dxa"/>
            <w:right w:w="108" w:type="dxa"/>
          </w:tblCellMar>
        </w:tblPrEx>
        <w:tc>
          <w:tcPr>
            <w:tcW w:w="9470" w:type="dxa"/>
            <w:tcBorders>
              <w:top w:val="single" w:color="000000" w:sz="4" w:space="0"/>
              <w:left w:val="single" w:color="000000" w:sz="4" w:space="0"/>
              <w:bottom w:val="single" w:color="000000" w:sz="4" w:space="0"/>
              <w:right w:val="single" w:color="000000" w:sz="4" w:space="0"/>
            </w:tcBorders>
            <w:shd w:val="clear" w:color="auto" w:fill="auto"/>
          </w:tcPr>
          <w:p>
            <w:r>
              <w:rPr>
                <w:rFonts w:ascii="仿宋_GB2312;微软雅黑" w:hAnsi="仿宋_GB2312;微软雅黑" w:eastAsia="仿宋_GB2312;微软雅黑" w:cs="仿宋_GB2312;微软雅黑"/>
                <w:b/>
                <w:szCs w:val="21"/>
              </w:rPr>
              <w:t>1.1操作系统：</w:t>
            </w:r>
            <w:r>
              <w:rPr>
                <w:rFonts w:ascii="仿宋_GB2312;微软雅黑" w:hAnsi="仿宋_GB2312;微软雅黑" w:eastAsia="仿宋_GB2312;微软雅黑" w:cs="仿宋_GB2312;微软雅黑"/>
                <w:szCs w:val="21"/>
              </w:rPr>
              <w:t>嵌入式Linux系统</w:t>
            </w:r>
          </w:p>
          <w:p>
            <w:r>
              <w:rPr>
                <w:rFonts w:ascii="仿宋_GB2312;微软雅黑" w:hAnsi="仿宋_GB2312;微软雅黑" w:eastAsia="仿宋_GB2312;微软雅黑" w:cs="仿宋_GB2312;微软雅黑"/>
                <w:b/>
                <w:szCs w:val="21"/>
              </w:rPr>
              <w:t>1.2 CPU：</w:t>
            </w:r>
            <w:r>
              <w:rPr>
                <w:rFonts w:ascii="仿宋_GB2312;微软雅黑" w:hAnsi="仿宋_GB2312;微软雅黑" w:eastAsia="仿宋_GB2312;微软雅黑" w:cs="仿宋_GB2312;微软雅黑"/>
                <w:szCs w:val="21"/>
              </w:rPr>
              <w:t>ARM7</w:t>
            </w:r>
            <w:r>
              <w:rPr>
                <w:rFonts w:ascii="仿宋_GB2312;微软雅黑" w:hAnsi="仿宋_GB2312;微软雅黑" w:eastAsia="仿宋_GB2312;微软雅黑" w:cs="仿宋_GB2312;微软雅黑"/>
                <w:b/>
                <w:szCs w:val="21"/>
              </w:rPr>
              <w:t xml:space="preserve"> </w:t>
            </w:r>
            <w:r>
              <w:rPr>
                <w:rFonts w:ascii="仿宋_GB2312;微软雅黑" w:hAnsi="仿宋_GB2312;微软雅黑" w:eastAsia="仿宋_GB2312;微软雅黑" w:cs="仿宋_GB2312;微软雅黑"/>
                <w:szCs w:val="21"/>
              </w:rPr>
              <w:t>32位微处理器</w:t>
            </w:r>
          </w:p>
          <w:p>
            <w:r>
              <w:rPr>
                <w:rFonts w:ascii="仿宋_GB2312;微软雅黑" w:hAnsi="仿宋_GB2312;微软雅黑" w:eastAsia="仿宋_GB2312;微软雅黑" w:cs="仿宋_GB2312;微软雅黑"/>
                <w:b/>
                <w:szCs w:val="21"/>
              </w:rPr>
              <w:t>1.3：</w:t>
            </w:r>
            <w:r>
              <w:rPr>
                <w:rFonts w:ascii="仿宋_GB2312;微软雅黑" w:hAnsi="仿宋_GB2312;微软雅黑" w:eastAsia="仿宋_GB2312;微软雅黑" w:cs="仿宋_GB2312;微软雅黑"/>
                <w:szCs w:val="21"/>
              </w:rPr>
              <w:t>全网通模块，7模，自适应支持移动、电信和联通三大运营商的各类通信卡</w:t>
            </w:r>
          </w:p>
          <w:p>
            <w:r>
              <w:rPr>
                <w:rFonts w:ascii="仿宋_GB2312;微软雅黑" w:hAnsi="仿宋_GB2312;微软雅黑" w:eastAsia="仿宋_GB2312;微软雅黑" w:cs="仿宋_GB2312;微软雅黑"/>
                <w:b/>
                <w:szCs w:val="21"/>
              </w:rPr>
              <w:t>1.4 GPS模块：</w:t>
            </w:r>
            <w:r>
              <w:rPr>
                <w:rFonts w:ascii="仿宋_GB2312;微软雅黑" w:hAnsi="仿宋_GB2312;微软雅黑" w:eastAsia="仿宋_GB2312;微软雅黑" w:cs="仿宋_GB2312;微软雅黑"/>
                <w:color w:val="000000"/>
                <w:szCs w:val="21"/>
              </w:rPr>
              <w:t>支持GPS/GLONASS/BeiDou三模定位</w:t>
            </w:r>
          </w:p>
          <w:p>
            <w:r>
              <w:rPr>
                <w:rFonts w:ascii="仿宋_GB2312;微软雅黑" w:hAnsi="仿宋_GB2312;微软雅黑" w:eastAsia="仿宋_GB2312;微软雅黑" w:cs="仿宋_GB2312;微软雅黑"/>
                <w:b/>
                <w:szCs w:val="21"/>
              </w:rPr>
              <w:t>1.5辅助定位：</w:t>
            </w:r>
            <w:r>
              <w:rPr>
                <w:rFonts w:ascii="仿宋_GB2312;微软雅黑" w:hAnsi="仿宋_GB2312;微软雅黑" w:eastAsia="仿宋_GB2312;微软雅黑" w:cs="仿宋_GB2312;微软雅黑"/>
                <w:color w:val="000000"/>
                <w:szCs w:val="21"/>
              </w:rPr>
              <w:t>支持AGPS，可实现首次快速定位</w:t>
            </w:r>
          </w:p>
          <w:p>
            <w:r>
              <w:rPr>
                <w:rFonts w:ascii="仿宋_GB2312;微软雅黑" w:hAnsi="仿宋_GB2312;微软雅黑" w:eastAsia="仿宋_GB2312;微软雅黑" w:cs="仿宋_GB2312;微软雅黑"/>
                <w:b/>
                <w:szCs w:val="21"/>
              </w:rPr>
              <w:t>1.6差分定位：</w:t>
            </w:r>
            <w:r>
              <w:rPr>
                <w:rFonts w:ascii="仿宋_GB2312;微软雅黑" w:hAnsi="仿宋_GB2312;微软雅黑" w:eastAsia="仿宋_GB2312;微软雅黑" w:cs="仿宋_GB2312;微软雅黑"/>
                <w:color w:val="000000"/>
                <w:szCs w:val="21"/>
              </w:rPr>
              <w:t>支持亚米级差分定位</w:t>
            </w:r>
            <w:r>
              <w:rPr>
                <w:rFonts w:ascii="仿宋_GB2312;微软雅黑" w:hAnsi="仿宋_GB2312;微软雅黑" w:eastAsia="仿宋_GB2312;微软雅黑" w:cs="仿宋_GB2312;微软雅黑"/>
                <w:szCs w:val="21"/>
              </w:rPr>
              <w:t>（需要差分基站配合）</w:t>
            </w:r>
          </w:p>
          <w:p>
            <w:r>
              <w:rPr>
                <w:rFonts w:ascii="仿宋_GB2312;微软雅黑" w:hAnsi="仿宋_GB2312;微软雅黑" w:eastAsia="仿宋_GB2312;微软雅黑" w:cs="仿宋_GB2312;微软雅黑"/>
                <w:b/>
                <w:szCs w:val="21"/>
              </w:rPr>
              <w:t>1.7数据存储：</w:t>
            </w:r>
            <w:r>
              <w:rPr>
                <w:rFonts w:ascii="仿宋_GB2312;微软雅黑" w:hAnsi="仿宋_GB2312;微软雅黑" w:eastAsia="仿宋_GB2312;微软雅黑" w:cs="仿宋_GB2312;微软雅黑"/>
                <w:szCs w:val="21"/>
              </w:rPr>
              <w:t>盲区补传≥10万点，多边形电子围栏≥100</w:t>
            </w:r>
          </w:p>
          <w:p>
            <w:r>
              <w:rPr>
                <w:rFonts w:ascii="仿宋_GB2312;微软雅黑" w:hAnsi="仿宋_GB2312;微软雅黑" w:eastAsia="仿宋_GB2312;微软雅黑" w:cs="仿宋_GB2312;微软雅黑"/>
                <w:b/>
                <w:szCs w:val="21"/>
              </w:rPr>
              <w:t>1.8语音报警：</w:t>
            </w:r>
            <w:r>
              <w:rPr>
                <w:rFonts w:ascii="仿宋_GB2312;微软雅黑" w:hAnsi="仿宋_GB2312;微软雅黑" w:eastAsia="仿宋_GB2312;微软雅黑" w:cs="仿宋_GB2312;微软雅黑"/>
                <w:szCs w:val="21"/>
              </w:rPr>
              <w:t>驶入和驶出越界报警、STOP线报警、超速报警、超时停车、疲劳驾驶等报警</w:t>
            </w:r>
          </w:p>
          <w:p>
            <w:r>
              <w:rPr>
                <w:rFonts w:ascii="仿宋_GB2312;微软雅黑" w:hAnsi="仿宋_GB2312;微软雅黑" w:eastAsia="仿宋_GB2312;微软雅黑" w:cs="仿宋_GB2312;微软雅黑"/>
                <w:b/>
                <w:szCs w:val="21"/>
              </w:rPr>
              <w:t>1.9设备外设：</w:t>
            </w:r>
            <w:r>
              <w:rPr>
                <w:rFonts w:ascii="仿宋_GB2312;微软雅黑" w:hAnsi="仿宋_GB2312;微软雅黑" w:eastAsia="仿宋_GB2312;微软雅黑" w:cs="仿宋_GB2312;微软雅黑"/>
                <w:szCs w:val="21"/>
              </w:rPr>
              <w:t>需支持以串口、USB等方式提供设备扩展能力，如外接读卡器、摄像头</w:t>
            </w:r>
          </w:p>
          <w:p>
            <w:r>
              <w:rPr>
                <w:rFonts w:ascii="仿宋_GB2312;微软雅黑" w:hAnsi="仿宋_GB2312;微软雅黑" w:eastAsia="仿宋_GB2312;微软雅黑" w:cs="仿宋_GB2312;微软雅黑"/>
                <w:b/>
                <w:bCs/>
                <w:szCs w:val="21"/>
              </w:rPr>
              <w:t>1.10定制功能：</w:t>
            </w:r>
            <w:r>
              <w:rPr>
                <w:rFonts w:ascii="仿宋_GB2312;微软雅黑" w:hAnsi="仿宋_GB2312;微软雅黑" w:eastAsia="仿宋_GB2312;微软雅黑" w:cs="仿宋_GB2312;微软雅黑"/>
                <w:szCs w:val="21"/>
              </w:rPr>
              <w:t>可为用户提供提示语音、围栏报警行为、刷卡操作等个性化定制服务</w:t>
            </w:r>
          </w:p>
          <w:p>
            <w:r>
              <w:rPr>
                <w:rFonts w:ascii="仿宋_GB2312;微软雅黑" w:hAnsi="仿宋_GB2312;微软雅黑" w:eastAsia="仿宋_GB2312;微软雅黑" w:cs="仿宋_GB2312;微软雅黑"/>
                <w:b/>
                <w:szCs w:val="21"/>
              </w:rPr>
              <w:t>1.11数传方式：</w:t>
            </w:r>
            <w:r>
              <w:rPr>
                <w:rFonts w:ascii="仿宋_GB2312;微软雅黑" w:hAnsi="仿宋_GB2312;微软雅黑" w:eastAsia="仿宋_GB2312;微软雅黑" w:cs="仿宋_GB2312;微软雅黑"/>
                <w:szCs w:val="21"/>
              </w:rPr>
              <w:t>支持TCP、UDP，TCP+UDP</w:t>
            </w:r>
          </w:p>
          <w:p>
            <w:r>
              <w:rPr>
                <w:rFonts w:ascii="仿宋_GB2312;微软雅黑" w:hAnsi="仿宋_GB2312;微软雅黑" w:eastAsia="仿宋_GB2312;微软雅黑" w:cs="仿宋_GB2312;微软雅黑"/>
                <w:b/>
                <w:szCs w:val="21"/>
              </w:rPr>
              <w:t>1.12输入电压：</w:t>
            </w:r>
            <w:r>
              <w:rPr>
                <w:rFonts w:ascii="仿宋_GB2312;微软雅黑" w:hAnsi="仿宋_GB2312;微软雅黑" w:eastAsia="仿宋_GB2312;微软雅黑" w:cs="仿宋_GB2312;微软雅黑"/>
                <w:szCs w:val="21"/>
              </w:rPr>
              <w:t>9～32V，直流，带保险丝，适用于12V、24V车载蓄电瓶车辆</w:t>
            </w:r>
          </w:p>
          <w:p>
            <w:r>
              <w:rPr>
                <w:rFonts w:ascii="仿宋_GB2312;微软雅黑" w:hAnsi="仿宋_GB2312;微软雅黑" w:eastAsia="仿宋_GB2312;微软雅黑" w:cs="仿宋_GB2312;微软雅黑"/>
                <w:b/>
                <w:szCs w:val="21"/>
              </w:rPr>
              <w:t>1.13工作电流：</w:t>
            </w:r>
            <w:r>
              <w:rPr>
                <w:rFonts w:ascii="仿宋_GB2312;微软雅黑" w:hAnsi="仿宋_GB2312;微软雅黑" w:eastAsia="仿宋_GB2312;微软雅黑" w:cs="仿宋_GB2312;微软雅黑"/>
                <w:szCs w:val="21"/>
              </w:rPr>
              <w:t>100～300mA @12V DC</w:t>
            </w:r>
          </w:p>
          <w:p>
            <w:r>
              <w:rPr>
                <w:rFonts w:ascii="仿宋_GB2312;微软雅黑" w:hAnsi="仿宋_GB2312;微软雅黑" w:eastAsia="仿宋_GB2312;微软雅黑" w:cs="仿宋_GB2312;微软雅黑"/>
                <w:b/>
                <w:szCs w:val="21"/>
              </w:rPr>
              <w:t>1.14电源保护：</w:t>
            </w:r>
            <w:r>
              <w:rPr>
                <w:rFonts w:ascii="仿宋_GB2312;微软雅黑" w:hAnsi="仿宋_GB2312;微软雅黑" w:eastAsia="仿宋_GB2312;微软雅黑" w:cs="仿宋_GB2312;微软雅黑"/>
                <w:szCs w:val="21"/>
              </w:rPr>
              <w:t>抗车辆点火干扰沿电源线传导骚扰，符合ISO7637-2 P5A IV级</w:t>
            </w:r>
          </w:p>
          <w:p>
            <w:r>
              <w:rPr>
                <w:rFonts w:ascii="仿宋_GB2312;微软雅黑" w:hAnsi="仿宋_GB2312;微软雅黑" w:eastAsia="仿宋_GB2312;微软雅黑" w:cs="仿宋_GB2312;微软雅黑"/>
                <w:b/>
                <w:szCs w:val="21"/>
              </w:rPr>
              <w:t>1.15备用电池：</w:t>
            </w:r>
            <w:r>
              <w:rPr>
                <w:rFonts w:ascii="仿宋_GB2312;微软雅黑" w:hAnsi="仿宋_GB2312;微软雅黑" w:eastAsia="仿宋_GB2312;微软雅黑" w:cs="仿宋_GB2312;微软雅黑"/>
                <w:szCs w:val="21"/>
              </w:rPr>
              <w:t>禁止使用锂电池等电池作为后备电源进行供电。需采用超级储能电容（充放电寿命50万次以上）代替备用电池，在-40至+80宽温范围内，最长3分钟完成快速充电，可满足机场频繁点火和熄火的运行特点，熄火后维持最少10秒数据上传时间</w:t>
            </w:r>
          </w:p>
          <w:p>
            <w:r>
              <w:rPr>
                <w:rFonts w:ascii="仿宋_GB2312;微软雅黑" w:hAnsi="仿宋_GB2312;微软雅黑" w:eastAsia="仿宋_GB2312;微软雅黑" w:cs="仿宋_GB2312;微软雅黑"/>
                <w:b/>
                <w:szCs w:val="21"/>
              </w:rPr>
              <w:t>1.16工作温度：</w:t>
            </w:r>
            <w:r>
              <w:rPr>
                <w:rFonts w:ascii="仿宋_GB2312;微软雅黑" w:hAnsi="仿宋_GB2312;微软雅黑" w:eastAsia="仿宋_GB2312;微软雅黑" w:cs="仿宋_GB2312;微软雅黑"/>
                <w:szCs w:val="21"/>
              </w:rPr>
              <w:t>-30度～+70度</w:t>
            </w:r>
          </w:p>
          <w:p>
            <w:r>
              <w:rPr>
                <w:rFonts w:ascii="仿宋_GB2312;微软雅黑" w:hAnsi="仿宋_GB2312;微软雅黑" w:eastAsia="仿宋_GB2312;微软雅黑" w:cs="仿宋_GB2312;微软雅黑"/>
                <w:b/>
                <w:szCs w:val="21"/>
              </w:rPr>
              <w:t>1.17存储温度：</w:t>
            </w:r>
            <w:r>
              <w:rPr>
                <w:rFonts w:ascii="仿宋_GB2312;微软雅黑" w:hAnsi="仿宋_GB2312;微软雅黑" w:eastAsia="仿宋_GB2312;微软雅黑" w:cs="仿宋_GB2312;微软雅黑"/>
                <w:szCs w:val="21"/>
              </w:rPr>
              <w:t>-55度～+105度</w:t>
            </w:r>
          </w:p>
          <w:p>
            <w:r>
              <w:rPr>
                <w:rFonts w:ascii="仿宋_GB2312;微软雅黑" w:hAnsi="仿宋_GB2312;微软雅黑" w:eastAsia="仿宋_GB2312;微软雅黑" w:cs="仿宋_GB2312;微软雅黑"/>
                <w:b/>
                <w:szCs w:val="21"/>
              </w:rPr>
              <w:t>1.18工作湿度：</w:t>
            </w:r>
            <w:r>
              <w:rPr>
                <w:rFonts w:ascii="仿宋_GB2312;微软雅黑" w:hAnsi="仿宋_GB2312;微软雅黑" w:eastAsia="仿宋_GB2312;微软雅黑" w:cs="仿宋_GB2312;微软雅黑"/>
                <w:szCs w:val="21"/>
              </w:rPr>
              <w:t>≤95%</w:t>
            </w:r>
          </w:p>
          <w:p>
            <w:r>
              <w:rPr>
                <w:rFonts w:ascii="仿宋_GB2312;微软雅黑" w:hAnsi="仿宋_GB2312;微软雅黑" w:eastAsia="仿宋_GB2312;微软雅黑" w:cs="仿宋_GB2312;微软雅黑"/>
                <w:b/>
                <w:szCs w:val="21"/>
              </w:rPr>
              <w:t>1.19</w:t>
            </w:r>
            <w:r>
              <w:rPr>
                <w:rFonts w:ascii="仿宋_GB2312;微软雅黑" w:hAnsi="仿宋_GB2312;微软雅黑" w:eastAsia="仿宋_GB2312;微软雅黑" w:cs="仿宋_GB2312;微软雅黑"/>
                <w:b/>
                <w:bCs/>
                <w:szCs w:val="21"/>
              </w:rPr>
              <w:t>电磁兼容</w:t>
            </w:r>
            <w:r>
              <w:rPr>
                <w:rFonts w:ascii="仿宋_GB2312;微软雅黑" w:hAnsi="仿宋_GB2312;微软雅黑" w:eastAsia="仿宋_GB2312;微软雅黑" w:cs="仿宋_GB2312;微软雅黑"/>
                <w:szCs w:val="21"/>
              </w:rPr>
              <w:t>： 接触放电 +-7KV, 空气放电+-14KV</w:t>
            </w:r>
          </w:p>
          <w:p/>
        </w:tc>
      </w:tr>
    </w:tbl>
    <w:p>
      <w:pPr>
        <w:spacing w:line="360" w:lineRule="exact"/>
        <w:ind w:firstLine="420"/>
      </w:pPr>
      <w:r>
        <w:rPr>
          <w:rFonts w:ascii="宋体;SimSun" w:hAnsi="宋体;SimSun" w:cs="宋体;SimSun"/>
          <w:b/>
          <w:szCs w:val="21"/>
        </w:rPr>
        <w:t>2.语音播报器</w:t>
      </w:r>
    </w:p>
    <w:p>
      <w:pPr>
        <w:pBdr>
          <w:top w:val="single" w:color="000000" w:sz="4" w:space="0"/>
          <w:left w:val="single" w:color="000000" w:sz="4" w:space="0"/>
          <w:bottom w:val="single" w:color="000000" w:sz="4" w:space="0"/>
          <w:right w:val="single" w:color="000000" w:sz="4" w:space="0"/>
        </w:pBdr>
        <w:snapToGrid w:val="0"/>
        <w:spacing w:line="300" w:lineRule="exact"/>
      </w:pPr>
      <w:r>
        <w:rPr>
          <w:rFonts w:ascii="仿宋_GB2312;微软雅黑" w:hAnsi="仿宋_GB2312;微软雅黑" w:eastAsia="仿宋_GB2312;微软雅黑" w:cs="仿宋_GB2312;微软雅黑"/>
          <w:b/>
          <w:szCs w:val="21"/>
        </w:rPr>
        <w:t>2.1</w:t>
      </w:r>
      <w:r>
        <w:rPr>
          <w:rFonts w:ascii="仿宋_GB2312;微软雅黑" w:hAnsi="仿宋_GB2312;微软雅黑" w:eastAsia="仿宋_GB2312;微软雅黑" w:cs="宋体;SimSun"/>
          <w:b/>
          <w:szCs w:val="21"/>
        </w:rPr>
        <w:t>语言播报信息</w:t>
      </w:r>
      <w:r>
        <w:rPr>
          <w:rFonts w:ascii="仿宋_GB2312;微软雅黑" w:hAnsi="仿宋_GB2312;微软雅黑" w:eastAsia="仿宋_GB2312;微软雅黑" w:cs="仿宋_GB2312;微软雅黑"/>
          <w:szCs w:val="21"/>
        </w:rPr>
        <w:tab/>
      </w:r>
      <w:r>
        <w:rPr>
          <w:rFonts w:ascii="仿宋_GB2312;微软雅黑" w:hAnsi="仿宋_GB2312;微软雅黑" w:eastAsia="仿宋_GB2312;微软雅黑" w:cs="宋体;SimSun"/>
          <w:szCs w:val="21"/>
        </w:rPr>
        <w:t>能清晰地播报中文语音（普通话）</w:t>
      </w:r>
    </w:p>
    <w:p>
      <w:pPr>
        <w:pBdr>
          <w:top w:val="single" w:color="000000" w:sz="4" w:space="0"/>
          <w:left w:val="single" w:color="000000" w:sz="4" w:space="0"/>
          <w:bottom w:val="single" w:color="000000" w:sz="4" w:space="0"/>
          <w:right w:val="single" w:color="000000" w:sz="4" w:space="0"/>
        </w:pBdr>
        <w:snapToGrid w:val="0"/>
        <w:spacing w:line="300" w:lineRule="exact"/>
      </w:pPr>
      <w:r>
        <w:rPr>
          <w:rFonts w:ascii="仿宋_GB2312;微软雅黑" w:hAnsi="仿宋_GB2312;微软雅黑" w:eastAsia="仿宋_GB2312;微软雅黑" w:cs="仿宋_GB2312;微软雅黑"/>
          <w:b/>
          <w:szCs w:val="21"/>
        </w:rPr>
        <w:t>2.2</w:t>
      </w:r>
      <w:r>
        <w:rPr>
          <w:rFonts w:ascii="仿宋_GB2312;微软雅黑" w:hAnsi="仿宋_GB2312;微软雅黑" w:eastAsia="仿宋_GB2312;微软雅黑" w:cs="宋体;SimSun"/>
          <w:b/>
          <w:szCs w:val="21"/>
        </w:rPr>
        <w:t>工作温度</w:t>
      </w:r>
      <w:r>
        <w:rPr>
          <w:rFonts w:ascii="仿宋_GB2312;微软雅黑" w:hAnsi="仿宋_GB2312;微软雅黑" w:eastAsia="仿宋_GB2312;微软雅黑" w:cs="仿宋_GB2312;微软雅黑"/>
          <w:szCs w:val="21"/>
        </w:rPr>
        <w:tab/>
      </w:r>
      <w:r>
        <w:rPr>
          <w:rFonts w:ascii="仿宋_GB2312;微软雅黑" w:hAnsi="仿宋_GB2312;微软雅黑" w:eastAsia="仿宋_GB2312;微软雅黑" w:cs="仿宋_GB2312;微软雅黑"/>
          <w:szCs w:val="21"/>
        </w:rPr>
        <w:tab/>
      </w:r>
      <w:r>
        <w:rPr>
          <w:rFonts w:ascii="仿宋_GB2312;微软雅黑" w:hAnsi="仿宋_GB2312;微软雅黑" w:eastAsia="仿宋_GB2312;微软雅黑" w:cs="仿宋_GB2312;微软雅黑"/>
          <w:szCs w:val="21"/>
        </w:rPr>
        <w:t>-25℃</w:t>
      </w:r>
      <w:r>
        <w:rPr>
          <w:rFonts w:ascii="仿宋_GB2312;微软雅黑" w:hAnsi="仿宋_GB2312;微软雅黑" w:eastAsia="仿宋_GB2312;微软雅黑" w:cs="宋体;SimSun"/>
          <w:szCs w:val="21"/>
        </w:rPr>
        <w:t>～</w:t>
      </w:r>
      <w:r>
        <w:rPr>
          <w:rFonts w:ascii="仿宋_GB2312;微软雅黑" w:hAnsi="仿宋_GB2312;微软雅黑" w:eastAsia="仿宋_GB2312;微软雅黑" w:cs="仿宋_GB2312;微软雅黑"/>
          <w:szCs w:val="21"/>
        </w:rPr>
        <w:t>70℃</w:t>
      </w:r>
    </w:p>
    <w:p>
      <w:pPr>
        <w:pBdr>
          <w:top w:val="single" w:color="000000" w:sz="4" w:space="0"/>
          <w:left w:val="single" w:color="000000" w:sz="4" w:space="0"/>
          <w:bottom w:val="single" w:color="000000" w:sz="4" w:space="0"/>
          <w:right w:val="single" w:color="000000" w:sz="4" w:space="0"/>
        </w:pBdr>
        <w:snapToGrid w:val="0"/>
        <w:spacing w:line="300" w:lineRule="exact"/>
      </w:pPr>
      <w:r>
        <w:rPr>
          <w:rFonts w:ascii="仿宋_GB2312;微软雅黑" w:hAnsi="仿宋_GB2312;微软雅黑" w:eastAsia="仿宋_GB2312;微软雅黑" w:cs="仿宋_GB2312;微软雅黑"/>
          <w:b/>
          <w:szCs w:val="21"/>
        </w:rPr>
        <w:t>2.3</w:t>
      </w:r>
      <w:r>
        <w:rPr>
          <w:rFonts w:ascii="仿宋_GB2312;微软雅黑" w:hAnsi="仿宋_GB2312;微软雅黑" w:eastAsia="仿宋_GB2312;微软雅黑" w:cs="宋体;SimSun"/>
          <w:b/>
          <w:szCs w:val="21"/>
        </w:rPr>
        <w:t>存储温度</w:t>
      </w:r>
      <w:r>
        <w:rPr>
          <w:rFonts w:ascii="仿宋_GB2312;微软雅黑" w:hAnsi="仿宋_GB2312;微软雅黑" w:eastAsia="仿宋_GB2312;微软雅黑" w:cs="仿宋_GB2312;微软雅黑"/>
          <w:szCs w:val="21"/>
        </w:rPr>
        <w:tab/>
      </w:r>
      <w:r>
        <w:rPr>
          <w:rFonts w:ascii="仿宋_GB2312;微软雅黑" w:hAnsi="仿宋_GB2312;微软雅黑" w:eastAsia="仿宋_GB2312;微软雅黑" w:cs="仿宋_GB2312;微软雅黑"/>
          <w:szCs w:val="21"/>
        </w:rPr>
        <w:tab/>
      </w:r>
      <w:r>
        <w:rPr>
          <w:rFonts w:ascii="仿宋_GB2312;微软雅黑" w:hAnsi="仿宋_GB2312;微软雅黑" w:eastAsia="仿宋_GB2312;微软雅黑" w:cs="仿宋_GB2312;微软雅黑"/>
          <w:szCs w:val="21"/>
        </w:rPr>
        <w:t>-40℃</w:t>
      </w:r>
      <w:r>
        <w:rPr>
          <w:rFonts w:ascii="仿宋_GB2312;微软雅黑" w:hAnsi="仿宋_GB2312;微软雅黑" w:eastAsia="仿宋_GB2312;微软雅黑" w:cs="宋体;SimSun"/>
          <w:szCs w:val="21"/>
        </w:rPr>
        <w:t>～</w:t>
      </w:r>
      <w:r>
        <w:rPr>
          <w:rFonts w:ascii="仿宋_GB2312;微软雅黑" w:hAnsi="仿宋_GB2312;微软雅黑" w:eastAsia="仿宋_GB2312;微软雅黑" w:cs="仿宋_GB2312;微软雅黑"/>
          <w:szCs w:val="21"/>
        </w:rPr>
        <w:t>85℃</w:t>
      </w:r>
    </w:p>
    <w:p>
      <w:pPr>
        <w:pBdr>
          <w:top w:val="single" w:color="000000" w:sz="4" w:space="0"/>
          <w:left w:val="single" w:color="000000" w:sz="4" w:space="0"/>
          <w:bottom w:val="single" w:color="000000" w:sz="4" w:space="0"/>
          <w:right w:val="single" w:color="000000" w:sz="4" w:space="0"/>
        </w:pBdr>
        <w:snapToGrid w:val="0"/>
        <w:spacing w:line="300" w:lineRule="exact"/>
      </w:pPr>
      <w:r>
        <w:rPr>
          <w:rFonts w:ascii="仿宋_GB2312;微软雅黑" w:hAnsi="仿宋_GB2312;微软雅黑" w:eastAsia="仿宋_GB2312;微软雅黑" w:cs="仿宋_GB2312;微软雅黑"/>
          <w:b/>
          <w:szCs w:val="21"/>
        </w:rPr>
        <w:t>2.4</w:t>
      </w:r>
      <w:r>
        <w:rPr>
          <w:rFonts w:ascii="仿宋_GB2312;微软雅黑" w:hAnsi="仿宋_GB2312;微软雅黑" w:eastAsia="仿宋_GB2312;微软雅黑" w:cs="宋体;SimSun"/>
          <w:b/>
          <w:szCs w:val="21"/>
        </w:rPr>
        <w:t>相对湿度</w:t>
      </w:r>
      <w:r>
        <w:rPr>
          <w:rFonts w:ascii="仿宋_GB2312;微软雅黑" w:hAnsi="仿宋_GB2312;微软雅黑" w:eastAsia="仿宋_GB2312;微软雅黑" w:cs="仿宋_GB2312;微软雅黑"/>
          <w:szCs w:val="21"/>
        </w:rPr>
        <w:tab/>
      </w:r>
      <w:r>
        <w:rPr>
          <w:rFonts w:ascii="仿宋_GB2312;微软雅黑" w:hAnsi="仿宋_GB2312;微软雅黑" w:eastAsia="仿宋_GB2312;微软雅黑" w:cs="仿宋_GB2312;微软雅黑"/>
          <w:szCs w:val="21"/>
        </w:rPr>
        <w:tab/>
      </w:r>
      <w:r>
        <w:rPr>
          <w:rFonts w:ascii="仿宋_GB2312;微软雅黑" w:hAnsi="仿宋_GB2312;微软雅黑" w:eastAsia="仿宋_GB2312;微软雅黑" w:cs="仿宋_GB2312;微软雅黑"/>
          <w:szCs w:val="21"/>
        </w:rPr>
        <w:t>5%</w:t>
      </w:r>
      <w:r>
        <w:rPr>
          <w:rFonts w:ascii="仿宋_GB2312;微软雅黑" w:hAnsi="仿宋_GB2312;微软雅黑" w:eastAsia="仿宋_GB2312;微软雅黑" w:cs="宋体;SimSun"/>
          <w:szCs w:val="21"/>
        </w:rPr>
        <w:t>～</w:t>
      </w:r>
      <w:r>
        <w:rPr>
          <w:rFonts w:ascii="仿宋_GB2312;微软雅黑" w:hAnsi="仿宋_GB2312;微软雅黑" w:eastAsia="仿宋_GB2312;微软雅黑" w:cs="仿宋_GB2312;微软雅黑"/>
          <w:szCs w:val="21"/>
        </w:rPr>
        <w:t>95%</w:t>
      </w:r>
    </w:p>
    <w:p>
      <w:pPr>
        <w:snapToGrid w:val="0"/>
        <w:spacing w:line="500" w:lineRule="exact"/>
        <w:rPr>
          <w:rFonts w:asciiTheme="minorEastAsia" w:hAnsiTheme="minorEastAsia" w:eastAsiaTheme="minorEastAsia" w:cstheme="minorEastAsia"/>
          <w:b/>
          <w:sz w:val="24"/>
          <w:szCs w:val="24"/>
        </w:rPr>
      </w:pPr>
      <w:r>
        <w:rPr>
          <w:rFonts w:asciiTheme="minorEastAsia" w:hAnsiTheme="minorEastAsia" w:eastAsiaTheme="minorEastAsia" w:cstheme="minorEastAsia"/>
          <w:b/>
          <w:sz w:val="24"/>
          <w:szCs w:val="24"/>
        </w:rPr>
        <w:t>3.刷卡器</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可通过智能车载终端的串口或</w:t>
      </w:r>
      <w:r>
        <w:rPr>
          <w:rFonts w:asciiTheme="minorEastAsia" w:hAnsiTheme="minorEastAsia" w:eastAsiaTheme="minorEastAsia" w:cstheme="minorEastAsia"/>
          <w:sz w:val="24"/>
          <w:szCs w:val="24"/>
        </w:rPr>
        <w:t>USB口连接读卡器，读取机场内使用的HID卡号信息，并上传。</w:t>
      </w:r>
    </w:p>
    <w:p>
      <w:pPr>
        <w:snapToGrid w:val="0"/>
        <w:spacing w:line="500" w:lineRule="exact"/>
        <w:rPr>
          <w:rFonts w:asciiTheme="minorEastAsia" w:hAnsiTheme="minorEastAsia" w:eastAsiaTheme="minorEastAsia" w:cstheme="minorEastAsia"/>
          <w:b/>
          <w:sz w:val="24"/>
          <w:szCs w:val="24"/>
        </w:rPr>
      </w:pPr>
      <w:r>
        <w:rPr>
          <w:rFonts w:asciiTheme="minorEastAsia" w:hAnsiTheme="minorEastAsia" w:eastAsiaTheme="minorEastAsia" w:cstheme="minorEastAsia"/>
          <w:b/>
          <w:sz w:val="24"/>
          <w:szCs w:val="24"/>
        </w:rPr>
        <w:t>4.多路脉冲信号输入输出</w:t>
      </w:r>
    </w:p>
    <w:p>
      <w:pPr>
        <w:snapToGrid w:val="0"/>
        <w:spacing w:line="5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四</w:t>
      </w:r>
      <w:r>
        <w:rPr>
          <w:rFonts w:asciiTheme="minorEastAsia" w:hAnsiTheme="minorEastAsia" w:eastAsiaTheme="minorEastAsia" w:cstheme="minorEastAsia"/>
          <w:b/>
          <w:sz w:val="24"/>
          <w:szCs w:val="24"/>
        </w:rPr>
        <w:t>.服务升级</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在服务升级方面，乙方做到以下要求：</w:t>
      </w:r>
    </w:p>
    <w:p>
      <w:pPr>
        <w:snapToGrid w:val="0"/>
        <w:spacing w:line="500" w:lineRule="exact"/>
        <w:ind w:firstLine="442"/>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1、因需满足其他甲方要求服务升级时，保证提供的新服务不少于本合同已定义的功能列表；</w:t>
      </w:r>
    </w:p>
    <w:p>
      <w:pPr>
        <w:snapToGrid w:val="0"/>
        <w:spacing w:line="500" w:lineRule="exact"/>
        <w:ind w:firstLine="442"/>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2、因服务升级带来的新的功能、更新更全的地图数据，即使甲方使用这些功能和数据，也保证不再向甲方要求支付多于服务期间签订时的费用（特殊需求定制除外）；</w:t>
      </w:r>
    </w:p>
    <w:p>
      <w:pPr>
        <w:snapToGrid w:val="0"/>
        <w:spacing w:line="500" w:lineRule="exact"/>
        <w:ind w:firstLine="442"/>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3、服务升级前，保证向甲方提前说明服务升级的内容和新增的功能。</w:t>
      </w:r>
    </w:p>
    <w:p>
      <w:pPr>
        <w:snapToGrid w:val="0"/>
        <w:spacing w:line="5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五、服务连续性及可用性</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在服务连续性及可用性方面，乙方做到以下要求：</w:t>
      </w:r>
    </w:p>
    <w:p>
      <w:pPr>
        <w:snapToGrid w:val="0"/>
        <w:spacing w:line="500" w:lineRule="exact"/>
        <w:ind w:firstLine="442"/>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1、保证服务期内的服务连续性和可用性；</w:t>
      </w:r>
    </w:p>
    <w:p>
      <w:pPr>
        <w:snapToGrid w:val="0"/>
        <w:spacing w:line="500" w:lineRule="exact"/>
        <w:ind w:firstLine="442"/>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2、保证服务中断最长时间低于60分钟（不可抗力情况除外）。</w:t>
      </w:r>
    </w:p>
    <w:p>
      <w:pPr>
        <w:snapToGrid w:val="0"/>
        <w:spacing w:line="5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六、数据安全性</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在数据安全性方面，乙方做到以下要求：</w:t>
      </w:r>
    </w:p>
    <w:p>
      <w:pPr>
        <w:snapToGrid w:val="0"/>
        <w:spacing w:line="500" w:lineRule="exact"/>
        <w:ind w:firstLine="442"/>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1、保证不泄漏甲方的所有数据，包括用户资料、车辆信息、位置、轨迹、状态以及和车辆相关的其他业务信息；</w:t>
      </w:r>
    </w:p>
    <w:p>
      <w:pPr>
        <w:snapToGrid w:val="0"/>
        <w:spacing w:line="500" w:lineRule="exact"/>
        <w:ind w:firstLine="442"/>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2、保证不任意篡改用户的数据，包括车辆位置、状态、轨迹、日志等；</w:t>
      </w:r>
    </w:p>
    <w:p>
      <w:pPr>
        <w:snapToGrid w:val="0"/>
        <w:spacing w:line="500" w:lineRule="exact"/>
        <w:ind w:firstLine="442"/>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3、保证系统平台在升级期间服务使用者的数据不丢失。</w:t>
      </w:r>
    </w:p>
    <w:p>
      <w:pPr>
        <w:snapToGrid w:val="0"/>
        <w:spacing w:line="5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七、数据备份和恢复</w:t>
      </w:r>
    </w:p>
    <w:p>
      <w:pPr>
        <w:snapToGrid w:val="0"/>
        <w:spacing w:line="500" w:lineRule="exact"/>
        <w:ind w:firstLine="44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在数据备份和恢复方面，乙方做到以下要求：</w:t>
      </w:r>
    </w:p>
    <w:p>
      <w:pPr>
        <w:snapToGrid w:val="0"/>
        <w:spacing w:line="500" w:lineRule="exact"/>
        <w:ind w:firstLine="442"/>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1、保证对甲方的数据进行定期备份；</w:t>
      </w:r>
    </w:p>
    <w:p>
      <w:pPr>
        <w:snapToGrid w:val="0"/>
        <w:spacing w:line="500" w:lineRule="exact"/>
        <w:ind w:firstLine="442"/>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2、保证提供服务期内六个月内的用户数据的恢复服务；</w:t>
      </w:r>
    </w:p>
    <w:p>
      <w:pPr>
        <w:snapToGrid w:val="0"/>
        <w:spacing w:line="500" w:lineRule="exact"/>
        <w:ind w:firstLine="442"/>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3、保证在服务期内，在使用方的要求下，提供指定范围或者全部的相关业务数据的导出服务。</w:t>
      </w:r>
    </w:p>
    <w:p>
      <w:pPr>
        <w:snapToGrid w:val="0"/>
        <w:spacing w:line="5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八、服务维护</w:t>
      </w:r>
    </w:p>
    <w:p>
      <w:pPr>
        <w:pStyle w:val="140"/>
        <w:spacing w:before="0" w:after="0" w:line="500" w:lineRule="exact"/>
        <w:jc w:val="both"/>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在服务维护方面，乙方做到以下要求：</w:t>
      </w:r>
    </w:p>
    <w:p>
      <w:pPr>
        <w:pStyle w:val="140"/>
        <w:spacing w:before="0" w:after="0" w:line="500" w:lineRule="exact"/>
        <w:jc w:val="both"/>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1、保证对服务器以及服务进行持续地、定期巡检活动（服务器负荷、磁盘空间、网络吐出情况等），已确保服务健康稳定；</w:t>
      </w:r>
    </w:p>
    <w:p>
      <w:pPr>
        <w:pStyle w:val="140"/>
        <w:spacing w:before="0" w:after="0" w:line="500" w:lineRule="exact"/>
        <w:jc w:val="both"/>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2、在服务因电信运营商进行服务割接时（网络、设备、电力供给等原因会要求服务中断），提前三天告知服务使用者；</w:t>
      </w:r>
    </w:p>
    <w:p>
      <w:pPr>
        <w:pStyle w:val="140"/>
        <w:spacing w:before="0" w:after="0" w:line="500" w:lineRule="exact"/>
        <w:jc w:val="both"/>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3、定期对服务使用者进行现场或电话、邮件等方式的交流，以发现用户在使用中的问题后进行改进；</w:t>
      </w:r>
    </w:p>
    <w:p>
      <w:pPr>
        <w:pStyle w:val="140"/>
        <w:spacing w:before="0" w:after="0" w:line="500" w:lineRule="exact"/>
        <w:jc w:val="both"/>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4、保证对服务使用者提出的疑问进行解答，对服务使用者提出的问题，经确认后的问题进行最短时间内的修正（3天内完成）。</w:t>
      </w:r>
    </w:p>
    <w:p>
      <w:pPr>
        <w:snapToGrid w:val="0"/>
        <w:spacing w:line="5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九、授权管理</w:t>
      </w:r>
    </w:p>
    <w:p>
      <w:pPr>
        <w:pStyle w:val="140"/>
        <w:spacing w:before="0" w:after="0" w:line="500" w:lineRule="exact"/>
        <w:jc w:val="both"/>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服务期间，甲方设立系统管理员，乙方设立服务专员，任何一方的相关人员变化，均要有变化方主管领导的书面确认函，供另一方备案。</w:t>
      </w:r>
    </w:p>
    <w:p>
      <w:pPr>
        <w:pStyle w:val="140"/>
        <w:spacing w:before="0" w:after="0" w:line="500" w:lineRule="exact"/>
        <w:jc w:val="both"/>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甲方系统管理员有权提出变更账号、设备信息、车辆信息等需要乙方配合完成的工作。以及对服务质量、出现的问题提出质疑。</w:t>
      </w:r>
    </w:p>
    <w:p>
      <w:pPr>
        <w:pStyle w:val="140"/>
        <w:spacing w:before="0" w:after="0" w:line="500" w:lineRule="exact"/>
        <w:jc w:val="both"/>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乙方服务专员响应甲方系统管理员提出的问题，协调乙方内部相关人员及时处理。</w:t>
      </w:r>
    </w:p>
    <w:p>
      <w:pPr>
        <w:snapToGrid w:val="0"/>
        <w:spacing w:line="5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十、服务对象内容变更</w:t>
      </w:r>
    </w:p>
    <w:p>
      <w:pPr>
        <w:widowControl/>
        <w:spacing w:line="500" w:lineRule="exact"/>
        <w:ind w:firstLine="480" w:firstLineChars="200"/>
        <w:jc w:val="left"/>
        <w:rPr>
          <w:rFonts w:asciiTheme="minorEastAsia" w:hAnsiTheme="minorEastAsia"/>
          <w:b/>
          <w:sz w:val="22"/>
        </w:rPr>
      </w:pPr>
      <w:r>
        <w:rPr>
          <w:rFonts w:hint="eastAsia" w:asciiTheme="minorEastAsia" w:hAnsiTheme="minorEastAsia" w:eastAsiaTheme="minorEastAsia" w:cstheme="minorEastAsia"/>
          <w:sz w:val="24"/>
          <w:szCs w:val="24"/>
        </w:rPr>
        <w:t>服务期间，如发生设备迁移，诸如：车辆更新、号牌变化等影响到数据一致性的情形时，甲方的系统管理员以书面形式或电话通知乙方的服务专员，由服务专员及时响应，安排乙方的技术人员配合进行后台数据的变更。</w:t>
      </w:r>
    </w:p>
    <w:p>
      <w:pPr>
        <w:pStyle w:val="21"/>
        <w:spacing w:line="360" w:lineRule="exact"/>
        <w:ind w:firstLine="420"/>
        <w:rPr>
          <w:rFonts w:ascii="Calibri" w:hAnsi="Calibri" w:cs="Calibri"/>
          <w:bCs/>
          <w:szCs w:val="32"/>
        </w:rPr>
      </w:pPr>
    </w:p>
    <w:p>
      <w:pPr>
        <w:widowControl/>
        <w:jc w:val="left"/>
        <w:rPr>
          <w:rFonts w:cs="Calibri"/>
          <w:bCs/>
          <w:kern w:val="0"/>
          <w:sz w:val="20"/>
          <w:szCs w:val="32"/>
        </w:rPr>
      </w:pPr>
      <w:r>
        <w:rPr>
          <w:rFonts w:cs="Calibri"/>
          <w:bCs/>
          <w:szCs w:val="32"/>
        </w:rPr>
        <w:br w:type="page"/>
      </w:r>
    </w:p>
    <w:p>
      <w:pPr>
        <w:pStyle w:val="21"/>
        <w:spacing w:line="360" w:lineRule="exact"/>
        <w:ind w:firstLine="420"/>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附件三、考核标准</w:t>
      </w:r>
    </w:p>
    <w:p>
      <w:pPr>
        <w:pStyle w:val="21"/>
        <w:spacing w:line="360" w:lineRule="exact"/>
        <w:ind w:firstLine="420"/>
        <w:rPr>
          <w:rFonts w:hint="eastAsia" w:ascii="仿宋_GB2312" w:hAnsi="宋体;SimSun" w:eastAsia="仿宋_GB2312" w:cs="Calibri"/>
          <w:b/>
          <w:bCs/>
          <w:sz w:val="28"/>
          <w:szCs w:val="28"/>
        </w:rPr>
      </w:pPr>
    </w:p>
    <w:p>
      <w:pPr>
        <w:jc w:val="center"/>
        <w:rPr>
          <w:rFonts w:ascii="方正小标宋简体" w:eastAsia="方正小标宋简体"/>
          <w:sz w:val="32"/>
          <w:szCs w:val="32"/>
        </w:rPr>
      </w:pPr>
      <w:r>
        <w:rPr>
          <w:rFonts w:hint="eastAsia" w:ascii="方正小标宋简体" w:eastAsia="方正小标宋简体"/>
          <w:sz w:val="28"/>
          <w:szCs w:val="28"/>
        </w:rPr>
        <w:t>杭州萧山国际机场机坪车辆车载GPS设备使用服务项目考核表</w:t>
      </w:r>
    </w:p>
    <w:p>
      <w:pPr>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被考核单位：</w:t>
      </w:r>
      <w:r>
        <w:rPr>
          <w:rFonts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考核时间：</w:t>
      </w:r>
    </w:p>
    <w:tbl>
      <w:tblPr>
        <w:tblStyle w:val="54"/>
        <w:tblW w:w="87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1710"/>
        <w:gridCol w:w="4590"/>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201" w:type="dxa"/>
            <w:vAlign w:val="center"/>
          </w:tcPr>
          <w:p>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考核项目</w:t>
            </w:r>
          </w:p>
        </w:tc>
        <w:tc>
          <w:tcPr>
            <w:tcW w:w="1710" w:type="dxa"/>
            <w:vAlign w:val="center"/>
          </w:tcPr>
          <w:p>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考核要素</w:t>
            </w:r>
          </w:p>
        </w:tc>
        <w:tc>
          <w:tcPr>
            <w:tcW w:w="4590" w:type="dxa"/>
            <w:vAlign w:val="center"/>
          </w:tcPr>
          <w:p>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扣分标准</w:t>
            </w:r>
          </w:p>
        </w:tc>
        <w:tc>
          <w:tcPr>
            <w:tcW w:w="1216" w:type="dxa"/>
            <w:vAlign w:val="center"/>
          </w:tcPr>
          <w:p>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考核分数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jc w:val="center"/>
        </w:trPr>
        <w:tc>
          <w:tcPr>
            <w:tcW w:w="1201" w:type="dxa"/>
            <w:vMerge w:val="restart"/>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服务功能（70分）</w:t>
            </w:r>
          </w:p>
        </w:tc>
        <w:tc>
          <w:tcPr>
            <w:tcW w:w="171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电子地图功能</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（15分）</w:t>
            </w:r>
          </w:p>
        </w:tc>
        <w:tc>
          <w:tcPr>
            <w:tcW w:w="4590" w:type="dxa"/>
            <w:vAlign w:val="center"/>
          </w:tcPr>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1、电子地图失效扣1分/次</w:t>
            </w:r>
          </w:p>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2、电脑地图显示不正确扣1分/次</w:t>
            </w:r>
          </w:p>
        </w:tc>
        <w:tc>
          <w:tcPr>
            <w:tcW w:w="1216" w:type="dxa"/>
            <w:vAlign w:val="center"/>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0" w:hRule="atLeast"/>
          <w:jc w:val="center"/>
        </w:trPr>
        <w:tc>
          <w:tcPr>
            <w:tcW w:w="1201" w:type="dxa"/>
            <w:vMerge w:val="continue"/>
            <w:vAlign w:val="center"/>
          </w:tcPr>
          <w:p>
            <w:pPr>
              <w:jc w:val="center"/>
              <w:rPr>
                <w:rFonts w:asciiTheme="minorEastAsia" w:hAnsiTheme="minorEastAsia" w:eastAsiaTheme="minorEastAsia" w:cstheme="minorEastAsia"/>
                <w:sz w:val="24"/>
                <w:szCs w:val="24"/>
              </w:rPr>
            </w:pPr>
          </w:p>
        </w:tc>
        <w:tc>
          <w:tcPr>
            <w:tcW w:w="171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监控功能</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（15分）</w:t>
            </w:r>
          </w:p>
        </w:tc>
        <w:tc>
          <w:tcPr>
            <w:tcW w:w="4590" w:type="dxa"/>
            <w:vAlign w:val="center"/>
          </w:tcPr>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1、无法提供准确的车辆GPS定位扣1分/次</w:t>
            </w:r>
          </w:p>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2、车辆GPS定位无法提供实时数据扣1分/次</w:t>
            </w:r>
          </w:p>
        </w:tc>
        <w:tc>
          <w:tcPr>
            <w:tcW w:w="1216" w:type="dxa"/>
            <w:vAlign w:val="center"/>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201" w:type="dxa"/>
            <w:vMerge w:val="continue"/>
            <w:vAlign w:val="center"/>
          </w:tcPr>
          <w:p>
            <w:pPr>
              <w:jc w:val="center"/>
              <w:rPr>
                <w:rFonts w:asciiTheme="minorEastAsia" w:hAnsiTheme="minorEastAsia" w:eastAsiaTheme="minorEastAsia" w:cstheme="minorEastAsia"/>
                <w:sz w:val="24"/>
                <w:szCs w:val="24"/>
              </w:rPr>
            </w:pPr>
          </w:p>
        </w:tc>
        <w:tc>
          <w:tcPr>
            <w:tcW w:w="171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报警功能</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（10分）</w:t>
            </w:r>
          </w:p>
        </w:tc>
        <w:tc>
          <w:tcPr>
            <w:tcW w:w="4590" w:type="dxa"/>
            <w:vAlign w:val="center"/>
          </w:tcPr>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1、超速报警功能失效扣1分/次</w:t>
            </w:r>
          </w:p>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2、警报器失效扣1分/次</w:t>
            </w:r>
          </w:p>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3、超区域警报失效扣1分/次</w:t>
            </w:r>
          </w:p>
        </w:tc>
        <w:tc>
          <w:tcPr>
            <w:tcW w:w="1216" w:type="dxa"/>
            <w:vAlign w:val="center"/>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201" w:type="dxa"/>
            <w:vMerge w:val="continue"/>
            <w:vAlign w:val="center"/>
          </w:tcPr>
          <w:p>
            <w:pPr>
              <w:jc w:val="center"/>
              <w:rPr>
                <w:rFonts w:asciiTheme="minorEastAsia" w:hAnsiTheme="minorEastAsia" w:eastAsiaTheme="minorEastAsia" w:cstheme="minorEastAsia"/>
                <w:sz w:val="24"/>
                <w:szCs w:val="24"/>
              </w:rPr>
            </w:pPr>
          </w:p>
        </w:tc>
        <w:tc>
          <w:tcPr>
            <w:tcW w:w="171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统计查询功能</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（20分）</w:t>
            </w:r>
          </w:p>
        </w:tc>
        <w:tc>
          <w:tcPr>
            <w:tcW w:w="4590" w:type="dxa"/>
            <w:vAlign w:val="center"/>
          </w:tcPr>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1、车辆行驶轨迹回放功能失效1分/次</w:t>
            </w:r>
          </w:p>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2、车辆停车功能统计失效1分/次</w:t>
            </w:r>
          </w:p>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3、车辆超速情况统计失效扣1分/次</w:t>
            </w:r>
          </w:p>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4、车辆状态显示失效扣1分/次</w:t>
            </w:r>
          </w:p>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5、系统数据丢失扣1分/次</w:t>
            </w:r>
          </w:p>
        </w:tc>
        <w:tc>
          <w:tcPr>
            <w:tcW w:w="1216" w:type="dxa"/>
            <w:vAlign w:val="center"/>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201" w:type="dxa"/>
            <w:vMerge w:val="continue"/>
            <w:vAlign w:val="center"/>
          </w:tcPr>
          <w:p>
            <w:pPr>
              <w:jc w:val="center"/>
              <w:rPr>
                <w:rFonts w:asciiTheme="minorEastAsia" w:hAnsiTheme="minorEastAsia" w:eastAsiaTheme="minorEastAsia" w:cstheme="minorEastAsia"/>
                <w:sz w:val="24"/>
                <w:szCs w:val="24"/>
              </w:rPr>
            </w:pPr>
          </w:p>
        </w:tc>
        <w:tc>
          <w:tcPr>
            <w:tcW w:w="171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电子围栏功能</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（10分）</w:t>
            </w:r>
          </w:p>
        </w:tc>
        <w:tc>
          <w:tcPr>
            <w:tcW w:w="4590" w:type="dxa"/>
            <w:vAlign w:val="center"/>
          </w:tcPr>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1、电子围栏功能失效扣1分/次</w:t>
            </w:r>
          </w:p>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2、电子围栏自定义功能失效扣1分/次</w:t>
            </w:r>
          </w:p>
        </w:tc>
        <w:tc>
          <w:tcPr>
            <w:tcW w:w="1216" w:type="dxa"/>
            <w:vAlign w:val="center"/>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jc w:val="center"/>
        </w:trPr>
        <w:tc>
          <w:tcPr>
            <w:tcW w:w="1201" w:type="dxa"/>
            <w:vMerge w:val="restart"/>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应急响应30分</w:t>
            </w:r>
          </w:p>
        </w:tc>
        <w:tc>
          <w:tcPr>
            <w:tcW w:w="171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响应时间</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（15分）</w:t>
            </w:r>
          </w:p>
        </w:tc>
        <w:tc>
          <w:tcPr>
            <w:tcW w:w="4590" w:type="dxa"/>
            <w:vAlign w:val="center"/>
          </w:tcPr>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按照合同约定提供服务维护，每超出1天扣2分。</w:t>
            </w:r>
          </w:p>
        </w:tc>
        <w:tc>
          <w:tcPr>
            <w:tcW w:w="1216" w:type="dxa"/>
            <w:vAlign w:val="center"/>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3" w:hRule="atLeast"/>
          <w:jc w:val="center"/>
        </w:trPr>
        <w:tc>
          <w:tcPr>
            <w:tcW w:w="1201" w:type="dxa"/>
            <w:vMerge w:val="continue"/>
            <w:vAlign w:val="center"/>
          </w:tcPr>
          <w:p>
            <w:pPr>
              <w:jc w:val="center"/>
              <w:rPr>
                <w:rFonts w:asciiTheme="minorEastAsia" w:hAnsiTheme="minorEastAsia" w:eastAsiaTheme="minorEastAsia" w:cstheme="minorEastAsia"/>
                <w:sz w:val="24"/>
                <w:szCs w:val="24"/>
              </w:rPr>
            </w:pPr>
          </w:p>
        </w:tc>
        <w:tc>
          <w:tcPr>
            <w:tcW w:w="171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响应效果</w:t>
            </w:r>
          </w:p>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（15分）</w:t>
            </w:r>
          </w:p>
        </w:tc>
        <w:tc>
          <w:tcPr>
            <w:tcW w:w="4590" w:type="dxa"/>
            <w:vAlign w:val="center"/>
          </w:tcPr>
          <w:p>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维护完成后，系统正常可用，经维护，同月内再次发生类似故障，扣2分/次。</w:t>
            </w:r>
          </w:p>
        </w:tc>
        <w:tc>
          <w:tcPr>
            <w:tcW w:w="1216" w:type="dxa"/>
            <w:vAlign w:val="center"/>
          </w:tcPr>
          <w:p>
            <w:pPr>
              <w:jc w:val="center"/>
              <w:rPr>
                <w:rFonts w:asciiTheme="minorEastAsia" w:hAnsiTheme="minorEastAsia" w:eastAsiaTheme="minorEastAsia" w:cstheme="minorEastAsia"/>
                <w:sz w:val="24"/>
                <w:szCs w:val="24"/>
              </w:rPr>
            </w:pPr>
          </w:p>
        </w:tc>
      </w:tr>
    </w:tbl>
    <w:p>
      <w:pPr>
        <w:ind w:firstLine="480" w:firstLineChars="200"/>
        <w:rPr>
          <w:rFonts w:asciiTheme="minorEastAsia" w:hAnsiTheme="minorEastAsia" w:eastAsiaTheme="minorEastAsia" w:cstheme="minorEastAsia"/>
          <w:sz w:val="24"/>
          <w:szCs w:val="24"/>
        </w:rPr>
      </w:pPr>
    </w:p>
    <w:p>
      <w:pPr>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备注：1、按照上表对乙方服务执行考核</w:t>
      </w:r>
    </w:p>
    <w:p>
      <w:pPr>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2、经甲方考核，乙方考核得分高于95分（含），即为优秀；</w:t>
      </w:r>
    </w:p>
    <w:p>
      <w:pPr>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3、经甲方考核，乙方考核得分高于90分（含）且低于95分为考核合格，并对不符合项进行立即整改，直至整改完成为止。</w:t>
      </w:r>
    </w:p>
    <w:p>
      <w:pPr>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4、经甲方考核，乙方考核得分低于90分（不含）为不合格，直至整改合格为止，同时没低1分扣履约保证金1000元，累计三次考核低于90分（不含），甲方有权解除合同。</w:t>
      </w:r>
    </w:p>
    <w:p>
      <w:pPr>
        <w:pStyle w:val="21"/>
        <w:spacing w:line="360" w:lineRule="exact"/>
        <w:ind w:firstLine="420"/>
        <w:rPr>
          <w:rFonts w:hint="eastAsia" w:ascii="仿宋_GB2312" w:hAnsi="宋体;SimSun" w:eastAsia="仿宋_GB2312" w:cs="Calibri"/>
          <w:b/>
          <w:bCs/>
          <w:sz w:val="28"/>
          <w:szCs w:val="28"/>
        </w:rPr>
        <w:sectPr>
          <w:headerReference r:id="rId7" w:type="first"/>
          <w:pgSz w:w="11906" w:h="16838"/>
          <w:pgMar w:top="1134" w:right="1247" w:bottom="1134" w:left="1247" w:header="851" w:footer="1134" w:gutter="0"/>
          <w:pgNumType w:fmt="numberInDash"/>
          <w:cols w:space="720" w:num="1"/>
          <w:docGrid w:linePitch="312" w:charSpace="0"/>
        </w:sectPr>
      </w:pPr>
    </w:p>
    <w:p>
      <w:pPr>
        <w:pStyle w:val="2"/>
        <w:spacing w:before="0" w:after="0" w:line="360" w:lineRule="auto"/>
        <w:jc w:val="center"/>
        <w:rPr>
          <w:rFonts w:ascii="Calibri" w:hAnsi="Calibri" w:eastAsia="黑体" w:cs="Calibri"/>
          <w:kern w:val="0"/>
          <w:sz w:val="32"/>
        </w:rPr>
      </w:pPr>
      <w:bookmarkStart w:id="115"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5"/>
    </w:p>
    <w:p>
      <w:pPr>
        <w:adjustRightInd w:val="0"/>
        <w:spacing w:line="360" w:lineRule="exact"/>
        <w:ind w:firstLine="440" w:firstLineChars="200"/>
        <w:rPr>
          <w:rFonts w:ascii="宋体" w:hAnsi="宋体" w:cs="宋体"/>
          <w:sz w:val="22"/>
          <w:lang w:val="zh-CN"/>
        </w:rPr>
      </w:pPr>
      <w:bookmarkStart w:id="116" w:name="_Toc29892"/>
      <w:r>
        <w:rPr>
          <w:rFonts w:hint="eastAsia" w:ascii="宋体" w:hAnsi="宋体" w:cs="宋体"/>
          <w:sz w:val="22"/>
        </w:rPr>
        <w:t>为保证本招标项目评标工作顺利进行，根据《中华人民共和国招标投标法》、《中华人民共和国招标投标法实施条例》、《评标委员会和评标方法暂行规定》（原国家发展计划委员会、建设部等七部委</w:t>
      </w:r>
      <w:r>
        <w:rPr>
          <w:rFonts w:ascii="宋体" w:hAnsi="宋体" w:cs="宋体"/>
          <w:sz w:val="22"/>
        </w:rPr>
        <w:t xml:space="preserve"> </w:t>
      </w:r>
      <w:r>
        <w:rPr>
          <w:rFonts w:hint="eastAsia" w:ascii="宋体" w:hAnsi="宋体" w:cs="宋体"/>
          <w:sz w:val="22"/>
        </w:rPr>
        <w:t>第</w:t>
      </w:r>
      <w:r>
        <w:rPr>
          <w:rFonts w:ascii="宋体" w:hAnsi="宋体" w:cs="宋体"/>
          <w:sz w:val="22"/>
        </w:rPr>
        <w:t>12号令）等有关规定，制定本办法。</w:t>
      </w:r>
      <w:bookmarkStart w:id="117" w:name="_Toc254594281"/>
      <w:bookmarkStart w:id="118" w:name="_Toc305916971"/>
    </w:p>
    <w:bookmarkEnd w:id="117"/>
    <w:bookmarkEnd w:id="118"/>
    <w:p>
      <w:pPr>
        <w:pStyle w:val="21"/>
        <w:spacing w:line="360" w:lineRule="exact"/>
        <w:rPr>
          <w:rFonts w:hAnsi="宋体" w:cs="宋体"/>
          <w:b/>
          <w:bCs/>
          <w:sz w:val="22"/>
          <w:szCs w:val="22"/>
        </w:rPr>
      </w:pPr>
      <w:r>
        <w:rPr>
          <w:rFonts w:hint="eastAsia" w:hAnsi="宋体" w:cs="宋体"/>
          <w:b/>
          <w:bCs/>
          <w:sz w:val="22"/>
          <w:szCs w:val="22"/>
        </w:rPr>
        <w:t>一、评标原则</w:t>
      </w:r>
    </w:p>
    <w:p>
      <w:pPr>
        <w:pStyle w:val="21"/>
        <w:spacing w:line="360" w:lineRule="exact"/>
        <w:ind w:firstLine="420"/>
        <w:rPr>
          <w:rFonts w:hAnsi="宋体" w:cs="宋体"/>
          <w:sz w:val="22"/>
          <w:szCs w:val="22"/>
        </w:rPr>
      </w:pPr>
      <w:r>
        <w:rPr>
          <w:rFonts w:hint="eastAsia" w:hAnsi="宋体" w:cs="宋体"/>
          <w:bCs/>
          <w:sz w:val="22"/>
          <w:szCs w:val="22"/>
        </w:rPr>
        <w:t>本次评标采用</w:t>
      </w:r>
      <w:r>
        <w:rPr>
          <w:rFonts w:hint="eastAsia" w:hAnsi="宋体" w:cs="宋体"/>
          <w:b/>
          <w:bCs/>
          <w:sz w:val="22"/>
          <w:szCs w:val="22"/>
        </w:rPr>
        <w:t>综合评估法</w:t>
      </w:r>
      <w:r>
        <w:rPr>
          <w:rFonts w:hint="eastAsia" w:hAnsi="宋体" w:cs="宋体"/>
          <w:bCs/>
          <w:sz w:val="22"/>
          <w:szCs w:val="22"/>
        </w:rPr>
        <w:t>，评标应遵循公平、公正、科学、择优的原则。</w:t>
      </w:r>
    </w:p>
    <w:p>
      <w:pPr>
        <w:pStyle w:val="21"/>
        <w:spacing w:line="360" w:lineRule="exact"/>
        <w:rPr>
          <w:rFonts w:hAnsi="宋体" w:cs="宋体"/>
          <w:b/>
          <w:bCs/>
          <w:sz w:val="22"/>
          <w:szCs w:val="22"/>
        </w:rPr>
      </w:pPr>
      <w:r>
        <w:rPr>
          <w:rFonts w:hint="eastAsia" w:hAnsi="宋体" w:cs="宋体"/>
          <w:b/>
          <w:bCs/>
          <w:sz w:val="22"/>
          <w:szCs w:val="22"/>
        </w:rPr>
        <w:t>二、评标组织</w:t>
      </w:r>
    </w:p>
    <w:p>
      <w:pPr>
        <w:pStyle w:val="21"/>
        <w:spacing w:line="360" w:lineRule="exact"/>
        <w:ind w:firstLine="420"/>
        <w:rPr>
          <w:rFonts w:hAnsi="宋体" w:cs="宋体"/>
          <w:sz w:val="22"/>
          <w:szCs w:val="22"/>
        </w:rPr>
      </w:pPr>
      <w:r>
        <w:rPr>
          <w:rFonts w:hint="eastAsia" w:hAnsi="宋体" w:cs="宋体"/>
          <w:sz w:val="22"/>
          <w:szCs w:val="22"/>
        </w:rPr>
        <w:t>评标工作由招标人依法组建的评标委员会（小组）负责。评标委员会成员为</w:t>
      </w:r>
      <w:r>
        <w:rPr>
          <w:rFonts w:hAnsi="宋体" w:cs="宋体"/>
          <w:sz w:val="22"/>
          <w:szCs w:val="22"/>
        </w:rPr>
        <w:t>3人及以上单数，评标委员会由招标人自行组建。</w:t>
      </w:r>
    </w:p>
    <w:p>
      <w:pPr>
        <w:pStyle w:val="21"/>
        <w:spacing w:line="360" w:lineRule="exact"/>
        <w:rPr>
          <w:rFonts w:hAnsi="宋体" w:cs="宋体"/>
          <w:b/>
          <w:bCs/>
          <w:sz w:val="22"/>
          <w:szCs w:val="22"/>
        </w:rPr>
      </w:pPr>
      <w:r>
        <w:rPr>
          <w:rFonts w:hint="eastAsia" w:hAnsi="宋体" w:cs="宋体"/>
          <w:b/>
          <w:bCs/>
          <w:sz w:val="22"/>
          <w:szCs w:val="22"/>
        </w:rPr>
        <w:t>三、投标文件的评审</w:t>
      </w:r>
    </w:p>
    <w:p>
      <w:pPr>
        <w:pStyle w:val="21"/>
        <w:spacing w:line="360" w:lineRule="exact"/>
        <w:ind w:firstLine="442" w:firstLineChars="200"/>
        <w:rPr>
          <w:rFonts w:hAnsi="宋体" w:cs="宋体"/>
          <w:b/>
          <w:sz w:val="22"/>
          <w:szCs w:val="22"/>
        </w:rPr>
      </w:pPr>
      <w:r>
        <w:rPr>
          <w:rFonts w:hAnsi="宋体" w:cs="宋体"/>
          <w:b/>
          <w:sz w:val="22"/>
          <w:szCs w:val="22"/>
        </w:rPr>
        <w:t xml:space="preserve">3.1 </w:t>
      </w:r>
      <w:r>
        <w:rPr>
          <w:rFonts w:hint="eastAsia" w:hAnsi="宋体" w:cs="宋体"/>
          <w:b/>
          <w:sz w:val="22"/>
          <w:szCs w:val="22"/>
        </w:rPr>
        <w:t>符合性评审</w:t>
      </w:r>
    </w:p>
    <w:p>
      <w:pPr>
        <w:widowControl/>
        <w:tabs>
          <w:tab w:val="left" w:pos="709"/>
        </w:tabs>
        <w:snapToGrid w:val="0"/>
        <w:spacing w:line="360" w:lineRule="exact"/>
        <w:ind w:firstLine="444" w:firstLineChars="202"/>
        <w:rPr>
          <w:rFonts w:ascii="宋体" w:hAnsi="宋体" w:cs="宋体"/>
          <w:bCs/>
          <w:kern w:val="0"/>
          <w:sz w:val="22"/>
        </w:rPr>
      </w:pPr>
      <w:r>
        <w:rPr>
          <w:rFonts w:ascii="宋体" w:hAnsi="宋体" w:cs="宋体"/>
          <w:bCs/>
          <w:kern w:val="0"/>
          <w:sz w:val="22"/>
        </w:rPr>
        <w:t>3.1.1评标委员会应依照招标文件的要求和规定首先对投标人的投标资格和投标文件进行符合性审查，</w:t>
      </w:r>
      <w:r>
        <w:rPr>
          <w:rFonts w:hint="eastAsia" w:ascii="宋体" w:hAnsi="宋体" w:cs="宋体"/>
          <w:b/>
          <w:kern w:val="0"/>
          <w:sz w:val="22"/>
        </w:rPr>
        <w:t>审查过程中评标委员会可以要求投标人提交下列审查项所需的有关证明和证件的原件，以便核验。</w:t>
      </w:r>
      <w:r>
        <w:rPr>
          <w:rFonts w:hint="eastAsia" w:ascii="宋体" w:hAnsi="宋体" w:cs="宋体"/>
          <w:bCs/>
          <w:kern w:val="0"/>
          <w:sz w:val="22"/>
        </w:rPr>
        <w:t>投标文件如存在以下情况之一的，经评标委员会三分之二以上的成员认定，符合性审查不予通过，</w:t>
      </w:r>
      <w:r>
        <w:rPr>
          <w:rFonts w:hint="eastAsia" w:ascii="宋体" w:hAnsi="宋体" w:cs="宋体"/>
          <w:b/>
          <w:bCs/>
          <w:kern w:val="0"/>
          <w:sz w:val="22"/>
        </w:rPr>
        <w:t>作否决投标处理，</w:t>
      </w:r>
      <w:r>
        <w:rPr>
          <w:rFonts w:hint="eastAsia" w:ascii="宋体" w:hAnsi="宋体" w:cs="宋体"/>
          <w:bCs/>
          <w:kern w:val="0"/>
          <w:sz w:val="22"/>
        </w:rPr>
        <w:t>不再进行详细评审：</w:t>
      </w:r>
    </w:p>
    <w:p>
      <w:pPr>
        <w:spacing w:line="360" w:lineRule="exact"/>
        <w:ind w:firstLine="471" w:firstLineChars="214"/>
        <w:rPr>
          <w:rFonts w:ascii="宋体" w:hAnsi="宋体" w:cs="宋体"/>
          <w:sz w:val="22"/>
        </w:rPr>
      </w:pPr>
      <w:r>
        <w:rPr>
          <w:rFonts w:ascii="宋体" w:hAnsi="宋体" w:cs="宋体"/>
          <w:sz w:val="22"/>
        </w:rPr>
        <w:t>1、</w:t>
      </w:r>
      <w:r>
        <w:rPr>
          <w:rFonts w:hint="eastAsia" w:ascii="宋体" w:hAnsi="宋体" w:cs="宋体"/>
          <w:bCs/>
          <w:kern w:val="0"/>
          <w:sz w:val="22"/>
        </w:rPr>
        <w:t>投标人的投标资格不满足国家有关规定或招标文件载明的投标资格条件的；</w:t>
      </w:r>
    </w:p>
    <w:p>
      <w:pPr>
        <w:spacing w:line="360" w:lineRule="exact"/>
        <w:ind w:firstLine="471" w:firstLineChars="214"/>
        <w:rPr>
          <w:rFonts w:ascii="宋体" w:hAnsi="宋体" w:cs="宋体"/>
          <w:sz w:val="22"/>
        </w:rPr>
      </w:pPr>
      <w:r>
        <w:rPr>
          <w:rFonts w:ascii="宋体" w:hAnsi="宋体" w:cs="宋体"/>
          <w:sz w:val="22"/>
        </w:rPr>
        <w:t>2、投标文件未按招标文件的要求签署和盖章的（仅限于单位印章和法定代表人或其委托代理人签字或盖章）；</w:t>
      </w:r>
    </w:p>
    <w:p>
      <w:pPr>
        <w:spacing w:line="360" w:lineRule="exact"/>
        <w:ind w:firstLine="471" w:firstLineChars="214"/>
        <w:rPr>
          <w:rFonts w:ascii="宋体" w:hAnsi="宋体" w:cs="宋体"/>
          <w:sz w:val="22"/>
        </w:rPr>
      </w:pPr>
      <w:r>
        <w:rPr>
          <w:rFonts w:ascii="宋体" w:hAnsi="宋体" w:cs="宋体"/>
          <w:sz w:val="22"/>
        </w:rPr>
        <w:t>3、投标文件未按规定的格式填写，内容不全或关键字迹模糊、无法辨认的；</w:t>
      </w:r>
    </w:p>
    <w:p>
      <w:pPr>
        <w:spacing w:line="360" w:lineRule="exact"/>
        <w:ind w:firstLine="471" w:firstLineChars="214"/>
        <w:rPr>
          <w:rFonts w:ascii="宋体" w:hAnsi="宋体" w:cs="宋体"/>
          <w:sz w:val="22"/>
        </w:rPr>
      </w:pPr>
      <w:r>
        <w:rPr>
          <w:rFonts w:ascii="宋体" w:hAnsi="宋体" w:cs="宋体"/>
          <w:sz w:val="22"/>
        </w:rPr>
        <w:t>4、投标人递交两份或多份内容不同的投标文件，或在一份投标文件中对同一招标项目报有两个或多个报价，且未声明哪一个有效；</w:t>
      </w:r>
    </w:p>
    <w:p>
      <w:pPr>
        <w:spacing w:line="360" w:lineRule="exact"/>
        <w:ind w:firstLine="471" w:firstLineChars="214"/>
        <w:rPr>
          <w:rFonts w:ascii="宋体" w:hAnsi="宋体" w:cs="宋体"/>
          <w:sz w:val="22"/>
        </w:rPr>
      </w:pPr>
      <w:r>
        <w:rPr>
          <w:rFonts w:ascii="宋体" w:hAnsi="宋体" w:cs="宋体"/>
          <w:sz w:val="22"/>
        </w:rPr>
        <w:t>5、供货期不满足招标文件要求的；</w:t>
      </w:r>
    </w:p>
    <w:p>
      <w:pPr>
        <w:spacing w:line="360" w:lineRule="exact"/>
        <w:ind w:firstLine="471" w:firstLineChars="214"/>
        <w:rPr>
          <w:rFonts w:ascii="宋体" w:hAnsi="宋体" w:cs="宋体"/>
          <w:sz w:val="22"/>
        </w:rPr>
      </w:pPr>
      <w:r>
        <w:rPr>
          <w:rFonts w:ascii="宋体" w:hAnsi="宋体" w:cs="宋体"/>
          <w:sz w:val="22"/>
        </w:rPr>
        <w:t>6、不</w:t>
      </w:r>
      <w:r>
        <w:rPr>
          <w:rFonts w:hint="eastAsia" w:ascii="宋体" w:hAnsi="宋体" w:cs="宋体"/>
          <w:kern w:val="0"/>
          <w:sz w:val="22"/>
        </w:rPr>
        <w:t>响应招标文件规定的实质性要求（包括具体条文前用“★”标示的）</w:t>
      </w:r>
    </w:p>
    <w:p>
      <w:pPr>
        <w:spacing w:line="360" w:lineRule="exact"/>
        <w:ind w:firstLine="471" w:firstLineChars="214"/>
        <w:rPr>
          <w:rFonts w:ascii="宋体" w:hAnsi="宋体" w:cs="宋体"/>
          <w:sz w:val="22"/>
        </w:rPr>
      </w:pPr>
      <w:r>
        <w:rPr>
          <w:rFonts w:ascii="宋体" w:hAnsi="宋体" w:cs="宋体"/>
          <w:sz w:val="22"/>
        </w:rPr>
        <w:t>7、投标人不以自己的名义或未按招标文件的要求提供投标保证金或提供的保证金有缺陷而不能接受的；</w:t>
      </w:r>
    </w:p>
    <w:p>
      <w:pPr>
        <w:spacing w:line="360" w:lineRule="exact"/>
        <w:ind w:firstLine="471" w:firstLineChars="214"/>
        <w:rPr>
          <w:rFonts w:ascii="宋体" w:hAnsi="宋体" w:cs="宋体"/>
          <w:sz w:val="22"/>
        </w:rPr>
      </w:pPr>
      <w:r>
        <w:rPr>
          <w:rFonts w:ascii="宋体" w:hAnsi="宋体" w:cs="宋体"/>
          <w:sz w:val="22"/>
        </w:rPr>
        <w:t>8、投标人以他人名义投标、或与他人串通投标、或以行贿手段谋取中标，或弄虚作假的；</w:t>
      </w:r>
    </w:p>
    <w:p>
      <w:pPr>
        <w:spacing w:line="360" w:lineRule="exact"/>
        <w:ind w:firstLine="471" w:firstLineChars="214"/>
        <w:rPr>
          <w:rFonts w:ascii="宋体" w:hAnsi="宋体" w:cs="宋体"/>
          <w:sz w:val="22"/>
        </w:rPr>
      </w:pPr>
      <w:r>
        <w:rPr>
          <w:rFonts w:ascii="宋体" w:hAnsi="宋体" w:cs="宋体"/>
          <w:sz w:val="22"/>
        </w:rPr>
        <w:t>9、存在法律、法规、规章规定的其它无效投标情况的。</w:t>
      </w:r>
    </w:p>
    <w:p>
      <w:pPr>
        <w:spacing w:line="360" w:lineRule="exact"/>
        <w:ind w:firstLine="471" w:firstLineChars="214"/>
        <w:rPr>
          <w:rFonts w:ascii="宋体" w:hAnsi="宋体" w:cs="宋体"/>
          <w:sz w:val="22"/>
        </w:rPr>
      </w:pPr>
      <w:r>
        <w:rPr>
          <w:rFonts w:hint="eastAsia" w:ascii="宋体" w:hAnsi="宋体" w:cs="宋体"/>
          <w:sz w:val="22"/>
        </w:rPr>
        <w:t>涉及本文件投标人资格条件第（</w:t>
      </w:r>
      <w:r>
        <w:rPr>
          <w:rFonts w:ascii="宋体" w:hAnsi="宋体" w:cs="宋体"/>
          <w:sz w:val="22"/>
        </w:rPr>
        <w:t>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widowControl/>
        <w:tabs>
          <w:tab w:val="left" w:pos="709"/>
        </w:tabs>
        <w:snapToGrid w:val="0"/>
        <w:spacing w:line="360" w:lineRule="exact"/>
        <w:ind w:firstLine="446" w:firstLineChars="202"/>
        <w:rPr>
          <w:rFonts w:ascii="宋体" w:hAnsi="宋体" w:cs="宋体"/>
          <w:b/>
          <w:sz w:val="22"/>
        </w:rPr>
      </w:pPr>
      <w:r>
        <w:rPr>
          <w:rFonts w:ascii="宋体" w:hAnsi="宋体" w:cs="宋体"/>
          <w:b/>
          <w:sz w:val="22"/>
        </w:rPr>
        <w:t xml:space="preserve">3.1.2 </w:t>
      </w:r>
      <w:r>
        <w:rPr>
          <w:rFonts w:hint="eastAsia" w:ascii="宋体" w:hAnsi="宋体" w:cs="宋体"/>
          <w:b/>
          <w:sz w:val="22"/>
        </w:rPr>
        <w:t>报价算术性修正</w:t>
      </w:r>
    </w:p>
    <w:p>
      <w:pPr>
        <w:pStyle w:val="21"/>
        <w:spacing w:line="360" w:lineRule="exact"/>
        <w:ind w:firstLine="440" w:firstLineChars="200"/>
        <w:rPr>
          <w:rFonts w:hAnsi="宋体" w:cs="宋体"/>
          <w:sz w:val="22"/>
          <w:szCs w:val="22"/>
        </w:rPr>
      </w:pPr>
      <w:r>
        <w:rPr>
          <w:rFonts w:hint="eastAsia" w:hAnsi="宋体" w:cs="宋体"/>
          <w:sz w:val="22"/>
          <w:szCs w:val="22"/>
        </w:rPr>
        <w:t>评标委员会按以下原则对通过符合性审查的投标文件报价进行算术性修正：</w:t>
      </w:r>
    </w:p>
    <w:p>
      <w:pPr>
        <w:pStyle w:val="21"/>
        <w:adjustRightInd w:val="0"/>
        <w:spacing w:line="360" w:lineRule="exact"/>
        <w:ind w:left="440"/>
        <w:rPr>
          <w:rFonts w:hAnsi="宋体" w:cs="宋体"/>
          <w:sz w:val="22"/>
          <w:szCs w:val="22"/>
        </w:rPr>
      </w:pPr>
      <w:r>
        <w:rPr>
          <w:rFonts w:hint="eastAsia" w:hAnsi="宋体" w:cs="宋体"/>
          <w:sz w:val="22"/>
          <w:szCs w:val="22"/>
        </w:rPr>
        <w:t>（</w:t>
      </w:r>
      <w:r>
        <w:rPr>
          <w:rFonts w:hAnsi="宋体" w:cs="宋体"/>
          <w:sz w:val="22"/>
          <w:szCs w:val="22"/>
        </w:rPr>
        <w:t>1）投标文件中的大写金额与小写金额不一致的，以大写金额为准；</w:t>
      </w:r>
    </w:p>
    <w:p>
      <w:pPr>
        <w:pStyle w:val="21"/>
        <w:adjustRightInd w:val="0"/>
        <w:spacing w:line="360" w:lineRule="exact"/>
        <w:ind w:left="440"/>
        <w:rPr>
          <w:rFonts w:hAnsi="宋体" w:cs="宋体"/>
          <w:sz w:val="22"/>
          <w:szCs w:val="22"/>
        </w:rPr>
      </w:pPr>
      <w:r>
        <w:rPr>
          <w:rFonts w:hint="eastAsia" w:hAnsi="宋体" w:cs="宋体"/>
          <w:sz w:val="22"/>
          <w:szCs w:val="22"/>
        </w:rPr>
        <w:t>（</w:t>
      </w:r>
      <w:r>
        <w:rPr>
          <w:rFonts w:hAnsi="宋体" w:cs="宋体"/>
          <w:sz w:val="22"/>
          <w:szCs w:val="22"/>
        </w:rPr>
        <w:t>2）总价金额与依据单价（或各分项合计）计算出的结果不一致的，以单价金额（或各分项合计）为准修正总价，但单价金额小数点有明显错误的除外。</w:t>
      </w:r>
    </w:p>
    <w:p>
      <w:pPr>
        <w:pStyle w:val="21"/>
        <w:spacing w:line="360" w:lineRule="exact"/>
        <w:ind w:firstLine="440" w:firstLineChars="200"/>
        <w:rPr>
          <w:rFonts w:hAnsi="宋体" w:cs="宋体"/>
          <w:b/>
          <w:sz w:val="22"/>
          <w:szCs w:val="22"/>
        </w:rPr>
      </w:pPr>
      <w:r>
        <w:rPr>
          <w:rFonts w:hint="eastAsia" w:hAnsi="宋体" w:cs="宋体"/>
          <w:sz w:val="22"/>
          <w:szCs w:val="22"/>
        </w:rPr>
        <w:t>★修正的价格经投标人书面确认后具有约束力。投标人不接受修正价格的，其投标作</w:t>
      </w:r>
      <w:r>
        <w:rPr>
          <w:rFonts w:hint="eastAsia" w:hAnsi="宋体" w:cs="宋体"/>
          <w:b/>
          <w:sz w:val="22"/>
          <w:szCs w:val="22"/>
        </w:rPr>
        <w:t>否决投标处理</w:t>
      </w:r>
      <w:r>
        <w:rPr>
          <w:rFonts w:hint="eastAsia" w:hAnsi="宋体" w:cs="宋体"/>
          <w:sz w:val="22"/>
          <w:szCs w:val="22"/>
        </w:rPr>
        <w:t>。</w:t>
      </w:r>
    </w:p>
    <w:p>
      <w:pPr>
        <w:pStyle w:val="21"/>
        <w:spacing w:line="360" w:lineRule="exact"/>
        <w:ind w:firstLine="440" w:firstLineChars="200"/>
        <w:rPr>
          <w:rFonts w:hAnsi="宋体" w:cs="宋体"/>
          <w:b/>
          <w:sz w:val="22"/>
          <w:szCs w:val="22"/>
        </w:rPr>
      </w:pPr>
      <w:r>
        <w:rPr>
          <w:rFonts w:hint="eastAsia" w:hAnsi="宋体" w:cs="宋体"/>
          <w:sz w:val="22"/>
          <w:szCs w:val="22"/>
        </w:rPr>
        <w:t>当通过符合性评审的单位少于三家时（不包括三家），应由评标委员会确认是否具有竞争性，如果有竞争性，则评标继续进行。</w:t>
      </w:r>
    </w:p>
    <w:p>
      <w:pPr>
        <w:pStyle w:val="21"/>
        <w:spacing w:line="360" w:lineRule="exact"/>
        <w:ind w:firstLine="442" w:firstLineChars="200"/>
        <w:rPr>
          <w:rFonts w:hAnsi="宋体" w:cs="宋体"/>
          <w:b/>
          <w:sz w:val="22"/>
          <w:szCs w:val="22"/>
        </w:rPr>
      </w:pPr>
      <w:r>
        <w:rPr>
          <w:rFonts w:hAnsi="宋体" w:cs="宋体"/>
          <w:b/>
          <w:sz w:val="22"/>
          <w:szCs w:val="22"/>
        </w:rPr>
        <w:t xml:space="preserve">3.2 </w:t>
      </w:r>
      <w:r>
        <w:rPr>
          <w:rFonts w:hint="eastAsia" w:hAnsi="宋体" w:cs="宋体"/>
          <w:b/>
          <w:sz w:val="22"/>
          <w:szCs w:val="22"/>
        </w:rPr>
        <w:t>投标文件的澄清和补正</w:t>
      </w:r>
    </w:p>
    <w:p>
      <w:pPr>
        <w:pStyle w:val="21"/>
        <w:adjustRightInd w:val="0"/>
        <w:snapToGrid w:val="0"/>
        <w:spacing w:line="360" w:lineRule="exact"/>
        <w:ind w:firstLine="440" w:firstLineChars="200"/>
        <w:rPr>
          <w:rFonts w:hAnsi="宋体" w:cs="宋体"/>
          <w:sz w:val="22"/>
          <w:szCs w:val="22"/>
        </w:rPr>
      </w:pPr>
      <w:r>
        <w:rPr>
          <w:rFonts w:hAnsi="宋体" w:cs="宋体"/>
          <w:sz w:val="22"/>
          <w:szCs w:val="22"/>
        </w:rPr>
        <w:t xml:space="preserve">3.2.1 </w:t>
      </w:r>
      <w:r>
        <w:rPr>
          <w:rFonts w:hint="eastAsia" w:hAnsi="宋体" w:cs="宋体"/>
          <w:sz w:val="22"/>
          <w:szCs w:val="22"/>
        </w:rPr>
        <w:t>在评标过程中，评标委员会可以书面形式要求投标人对所提交的投标文件中不明确的内容进行书面澄清、说明或者补正。评标委员会不接受投标人主动提出的澄清、说明或补正。</w:t>
      </w:r>
    </w:p>
    <w:p>
      <w:pPr>
        <w:pStyle w:val="21"/>
        <w:adjustRightInd w:val="0"/>
        <w:snapToGrid w:val="0"/>
        <w:spacing w:line="360" w:lineRule="exact"/>
        <w:ind w:firstLine="440" w:firstLineChars="200"/>
        <w:rPr>
          <w:rFonts w:hAnsi="宋体" w:cs="宋体"/>
          <w:sz w:val="22"/>
          <w:szCs w:val="22"/>
        </w:rPr>
      </w:pPr>
      <w:r>
        <w:rPr>
          <w:rFonts w:hAnsi="宋体" w:cs="宋体"/>
          <w:sz w:val="22"/>
          <w:szCs w:val="22"/>
        </w:rPr>
        <w:t>3.2.2澄清、说明和补正不得改变投标文件的实质性内容（算术性错误修正的除外）。投标人的书面澄清、说明和补正属于投标文件的组成部分。</w:t>
      </w:r>
    </w:p>
    <w:p>
      <w:pPr>
        <w:pStyle w:val="21"/>
        <w:adjustRightInd w:val="0"/>
        <w:snapToGrid w:val="0"/>
        <w:spacing w:line="360" w:lineRule="exact"/>
        <w:ind w:firstLine="440" w:firstLineChars="200"/>
        <w:rPr>
          <w:rFonts w:hAnsi="宋体" w:cs="宋体"/>
          <w:sz w:val="22"/>
          <w:szCs w:val="22"/>
        </w:rPr>
      </w:pPr>
      <w:r>
        <w:rPr>
          <w:rFonts w:hAnsi="宋体" w:cs="宋体"/>
          <w:sz w:val="22"/>
          <w:szCs w:val="22"/>
        </w:rPr>
        <w:t xml:space="preserve">3.2.3 </w:t>
      </w:r>
      <w:r>
        <w:rPr>
          <w:rFonts w:hint="eastAsia" w:hAnsi="宋体" w:cs="宋体"/>
          <w:sz w:val="22"/>
          <w:szCs w:val="22"/>
        </w:rPr>
        <w:t>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估法，评标委员会根据评审情况，对资信、技术、商务等方面进行评审。评标委员会根据评审情况，对各投标人的商务报价进行统一打分，对各投标人的资信及技术由评标委员会成员进行独立打分。所有分值均保留小数点后</w:t>
      </w:r>
      <w:r>
        <w:rPr>
          <w:rFonts w:hAnsi="宋体" w:cs="Calibri"/>
          <w:sz w:val="22"/>
          <w:szCs w:val="22"/>
        </w:rPr>
        <w:t>1位小数。若评标委员会的评分表中计分不在分值范围内的，则该评分表无效。</w:t>
      </w:r>
    </w:p>
    <w:p>
      <w:pPr>
        <w:pStyle w:val="21"/>
        <w:adjustRightInd w:val="0"/>
        <w:snapToGrid w:val="0"/>
        <w:spacing w:line="360" w:lineRule="exact"/>
        <w:ind w:firstLine="442" w:firstLineChars="200"/>
        <w:rPr>
          <w:rFonts w:hAnsi="宋体"/>
          <w:b/>
          <w:color w:val="000000"/>
          <w:sz w:val="22"/>
          <w:szCs w:val="22"/>
        </w:rPr>
      </w:pPr>
      <w:r>
        <w:rPr>
          <w:rFonts w:hint="eastAsia" w:hAnsi="宋体"/>
          <w:b/>
          <w:color w:val="000000"/>
          <w:sz w:val="22"/>
          <w:szCs w:val="22"/>
        </w:rPr>
        <w:t>每个投标人最终得分</w:t>
      </w:r>
      <w:r>
        <w:rPr>
          <w:rFonts w:hAnsi="宋体"/>
          <w:b/>
          <w:color w:val="000000"/>
          <w:sz w:val="22"/>
          <w:szCs w:val="22"/>
        </w:rPr>
        <w:t>=商务报价分+资信及技术分</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3.3.1商务报价分60分</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报价评分应在投标报价响应招标文件要求的基础上，取所有有效投标报价的算数平均值与次低价的算数平均值作为评标基准价，如有效投标报价的数量小于4个，则评标基准价为所有有效投标报价的算数平均值与最低价的算数平均值。</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投标人的投标价等于评标基准价的得60分，每高于评标基准价1%的扣1分，每低于评标基准价1%的扣0.5分（不足1个百分点按插值法计算，小数点后保留二位，四舍五入，商务分最低得分为30分）</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2、资信及技术评分   0-40分</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该评分分值由评标委员会成员独立打分（具体分值设定详见下表），小数点后保留1位小数。每个投标人的最终资信及技术得分为评标委员会打分的算术平均值（小数点后保留2位，第三位四舍五入）。</w:t>
      </w:r>
    </w:p>
    <w:p>
      <w:pPr>
        <w:pStyle w:val="21"/>
        <w:adjustRightInd w:val="0"/>
        <w:snapToGrid w:val="0"/>
        <w:spacing w:line="360" w:lineRule="exact"/>
        <w:ind w:firstLine="440" w:firstLineChars="200"/>
        <w:rPr>
          <w:rFonts w:hAnsi="宋体" w:cs="Calibri"/>
          <w:sz w:val="22"/>
          <w:szCs w:val="22"/>
        </w:rPr>
      </w:pPr>
    </w:p>
    <w:p>
      <w:pPr>
        <w:pStyle w:val="140"/>
        <w:spacing w:before="0" w:after="0" w:line="360" w:lineRule="exact"/>
        <w:ind w:firstLine="440"/>
        <w:jc w:val="center"/>
        <w:rPr>
          <w:rFonts w:ascii="宋体;SimSun" w:hAnsi="宋体;SimSun" w:eastAsia="宋体;SimSun" w:cs="Calibri"/>
          <w:bCs/>
          <w:kern w:val="0"/>
          <w:sz w:val="22"/>
          <w:szCs w:val="22"/>
        </w:rPr>
      </w:pPr>
      <w:r>
        <w:rPr>
          <w:rFonts w:ascii="宋体;SimSun" w:hAnsi="宋体;SimSun" w:eastAsia="宋体;SimSun" w:cs="Calibri"/>
          <w:bCs/>
          <w:kern w:val="0"/>
          <w:sz w:val="22"/>
          <w:szCs w:val="22"/>
        </w:rPr>
        <w:t>评分因素、分值权重及评分标准</w:t>
      </w:r>
    </w:p>
    <w:tbl>
      <w:tblPr>
        <w:tblStyle w:val="53"/>
        <w:tblW w:w="9153" w:type="dxa"/>
        <w:tblInd w:w="0" w:type="dxa"/>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
      <w:tblGrid>
        <w:gridCol w:w="1277"/>
        <w:gridCol w:w="1985"/>
        <w:gridCol w:w="993"/>
        <w:gridCol w:w="4898"/>
      </w:tblGrid>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1728" w:hRule="atLeast"/>
        </w:trPr>
        <w:tc>
          <w:tcPr>
            <w:tcW w:w="1277" w:type="dxa"/>
            <w:vMerge w:val="restart"/>
            <w:tcBorders>
              <w:top w:val="single" w:color="000000" w:sz="4" w:space="0"/>
              <w:left w:val="single" w:color="000000" w:sz="4" w:space="0"/>
              <w:bottom w:val="single" w:color="000000" w:sz="4" w:space="0"/>
            </w:tcBorders>
            <w:shd w:val="clear" w:color="auto" w:fill="auto"/>
            <w:vAlign w:val="center"/>
          </w:tcPr>
          <w:p>
            <w:pPr>
              <w:pStyle w:val="21"/>
              <w:spacing w:line="360" w:lineRule="exact"/>
              <w:rPr>
                <w:sz w:val="22"/>
                <w:szCs w:val="22"/>
              </w:rPr>
            </w:pPr>
            <w:r>
              <w:rPr>
                <w:rFonts w:hint="eastAsia" w:ascii="宋体;SimSun" w:hAnsi="宋体;SimSun" w:cs="Calibri"/>
                <w:bCs/>
                <w:sz w:val="22"/>
                <w:szCs w:val="22"/>
              </w:rPr>
              <w:t>资信、业绩及技术得分（</w:t>
            </w:r>
            <w:r>
              <w:rPr>
                <w:rFonts w:hint="eastAsia" w:ascii="宋体;SimSun" w:hAnsi="宋体;SimSun" w:cs="宋体;SimSun"/>
                <w:bCs/>
                <w:sz w:val="22"/>
                <w:szCs w:val="22"/>
              </w:rPr>
              <w:t>40</w:t>
            </w:r>
            <w:r>
              <w:rPr>
                <w:rFonts w:hint="eastAsia" w:ascii="宋体;SimSun" w:hAnsi="宋体;SimSun" w:cs="Calibri"/>
                <w:bCs/>
                <w:sz w:val="22"/>
                <w:szCs w:val="22"/>
              </w:rPr>
              <w:t>分）</w:t>
            </w:r>
          </w:p>
        </w:tc>
        <w:tc>
          <w:tcPr>
            <w:tcW w:w="1985" w:type="dxa"/>
            <w:vMerge w:val="restart"/>
            <w:tcBorders>
              <w:top w:val="single" w:color="000000" w:sz="4" w:space="0"/>
              <w:left w:val="single" w:color="000000" w:sz="4" w:space="0"/>
              <w:bottom w:val="single" w:color="000000" w:sz="4" w:space="0"/>
            </w:tcBorders>
            <w:shd w:val="clear" w:color="auto" w:fill="auto"/>
            <w:vAlign w:val="center"/>
          </w:tcPr>
          <w:p>
            <w:pPr>
              <w:pStyle w:val="21"/>
              <w:spacing w:line="360" w:lineRule="exact"/>
              <w:rPr>
                <w:sz w:val="22"/>
                <w:szCs w:val="22"/>
              </w:rPr>
            </w:pPr>
            <w:r>
              <w:rPr>
                <w:rFonts w:hint="eastAsia" w:ascii="宋体;SimSun" w:hAnsi="宋体;SimSun" w:cs="Calibri"/>
                <w:bCs/>
                <w:sz w:val="22"/>
                <w:szCs w:val="22"/>
              </w:rPr>
              <w:t>投标人公司情况</w:t>
            </w:r>
          </w:p>
        </w:tc>
        <w:tc>
          <w:tcPr>
            <w:tcW w:w="993" w:type="dxa"/>
            <w:vMerge w:val="restart"/>
            <w:tcBorders>
              <w:top w:val="single" w:color="000000" w:sz="4" w:space="0"/>
              <w:left w:val="single" w:color="000000" w:sz="4" w:space="0"/>
              <w:bottom w:val="single" w:color="000000" w:sz="4" w:space="0"/>
            </w:tcBorders>
            <w:shd w:val="clear" w:color="auto" w:fill="auto"/>
            <w:vAlign w:val="center"/>
          </w:tcPr>
          <w:p>
            <w:pPr>
              <w:tabs>
                <w:tab w:val="left" w:pos="0"/>
              </w:tabs>
              <w:spacing w:line="560" w:lineRule="exact"/>
              <w:jc w:val="center"/>
              <w:rPr>
                <w:sz w:val="22"/>
              </w:rPr>
            </w:pPr>
            <w:r>
              <w:rPr>
                <w:rFonts w:hint="eastAsia" w:ascii="宋体;SimSun" w:hAnsi="宋体;SimSun" w:cs="宋体;SimSun"/>
                <w:bCs/>
                <w:kern w:val="0"/>
                <w:sz w:val="22"/>
              </w:rPr>
              <w:t>3</w:t>
            </w:r>
            <w:r>
              <w:rPr>
                <w:rFonts w:hint="eastAsia" w:ascii="宋体;SimSun" w:hAnsi="宋体;SimSun" w:cs="Calibri"/>
                <w:bCs/>
                <w:kern w:val="0"/>
                <w:sz w:val="22"/>
              </w:rPr>
              <w:t>分</w:t>
            </w:r>
          </w:p>
        </w:tc>
        <w:tc>
          <w:tcPr>
            <w:tcW w:w="4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1"/>
              <w:spacing w:line="360" w:lineRule="exact"/>
              <w:rPr>
                <w:sz w:val="22"/>
                <w:szCs w:val="22"/>
              </w:rPr>
            </w:pPr>
            <w:r>
              <w:rPr>
                <w:rFonts w:hint="eastAsia" w:ascii="宋体;SimSun" w:hAnsi="宋体;SimSun" w:cs="Calibri"/>
                <w:bCs/>
                <w:sz w:val="22"/>
                <w:szCs w:val="22"/>
              </w:rPr>
              <w:t>根据企业注册资金、技术力量、经营状况等酌情打分（</w:t>
            </w:r>
            <w:r>
              <w:rPr>
                <w:rFonts w:ascii="宋体;SimSun" w:hAnsi="宋体;SimSun" w:cs="宋体;SimSun"/>
                <w:bCs/>
                <w:sz w:val="22"/>
                <w:szCs w:val="22"/>
              </w:rPr>
              <w:t>3</w:t>
            </w:r>
            <w:r>
              <w:rPr>
                <w:rFonts w:hint="eastAsia" w:ascii="宋体;SimSun" w:hAnsi="宋体;SimSun" w:cs="Calibri"/>
                <w:bCs/>
                <w:sz w:val="22"/>
                <w:szCs w:val="22"/>
              </w:rPr>
              <w:t>分）。好：</w:t>
            </w:r>
            <w:r>
              <w:rPr>
                <w:rFonts w:hint="eastAsia" w:ascii="宋体;SimSun" w:hAnsi="宋体;SimSun" w:cs="宋体;SimSun"/>
                <w:bCs/>
                <w:sz w:val="22"/>
                <w:szCs w:val="22"/>
              </w:rPr>
              <w:t>3</w:t>
            </w:r>
            <w:r>
              <w:rPr>
                <w:rFonts w:hint="eastAsia" w:ascii="宋体;SimSun" w:hAnsi="宋体;SimSun" w:cs="Calibri"/>
                <w:bCs/>
                <w:sz w:val="22"/>
                <w:szCs w:val="22"/>
              </w:rPr>
              <w:t>分；一般：</w:t>
            </w:r>
            <w:r>
              <w:rPr>
                <w:rFonts w:hint="eastAsia" w:ascii="宋体;SimSun" w:hAnsi="宋体;SimSun" w:cs="宋体;SimSun"/>
                <w:bCs/>
                <w:sz w:val="22"/>
                <w:szCs w:val="22"/>
              </w:rPr>
              <w:t>2</w:t>
            </w:r>
            <w:r>
              <w:rPr>
                <w:rFonts w:hint="eastAsia" w:ascii="宋体;SimSun" w:hAnsi="宋体;SimSun" w:cs="Calibri"/>
                <w:bCs/>
                <w:sz w:val="22"/>
                <w:szCs w:val="22"/>
              </w:rPr>
              <w:t>分；差：</w:t>
            </w:r>
            <w:r>
              <w:rPr>
                <w:rFonts w:hint="eastAsia" w:ascii="宋体;SimSun" w:hAnsi="宋体;SimSun" w:cs="宋体;SimSun"/>
                <w:bCs/>
                <w:sz w:val="22"/>
                <w:szCs w:val="22"/>
              </w:rPr>
              <w:t>1</w:t>
            </w:r>
            <w:r>
              <w:rPr>
                <w:rFonts w:hint="eastAsia" w:ascii="宋体;SimSun" w:hAnsi="宋体;SimSun" w:cs="Calibri"/>
                <w:bCs/>
                <w:sz w:val="22"/>
                <w:szCs w:val="22"/>
              </w:rPr>
              <w:t>分。</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624" w:hRule="atLeast"/>
        </w:trPr>
        <w:tc>
          <w:tcPr>
            <w:tcW w:w="1277"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1985"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993"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4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21"/>
              <w:snapToGrid w:val="0"/>
              <w:spacing w:line="360" w:lineRule="exact"/>
              <w:ind w:firstLine="440"/>
              <w:jc w:val="center"/>
              <w:rPr>
                <w:rFonts w:hint="eastAsia" w:ascii="宋体;SimSun" w:hAnsi="宋体;SimSun" w:cs="宋体;SimSun"/>
                <w:bCs/>
                <w:sz w:val="22"/>
                <w:szCs w:val="22"/>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624" w:hRule="atLeast"/>
        </w:trPr>
        <w:tc>
          <w:tcPr>
            <w:tcW w:w="1277"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1985"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993"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4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21"/>
              <w:snapToGrid w:val="0"/>
              <w:spacing w:line="360" w:lineRule="exact"/>
              <w:ind w:firstLine="440"/>
              <w:jc w:val="center"/>
              <w:rPr>
                <w:rFonts w:hint="eastAsia" w:ascii="宋体;SimSun" w:hAnsi="宋体;SimSun" w:cs="宋体;SimSun"/>
                <w:bCs/>
                <w:sz w:val="22"/>
                <w:szCs w:val="22"/>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560" w:hRule="atLeast"/>
        </w:trPr>
        <w:tc>
          <w:tcPr>
            <w:tcW w:w="1277"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1985"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993"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4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21"/>
              <w:snapToGrid w:val="0"/>
              <w:spacing w:line="360" w:lineRule="exact"/>
              <w:ind w:firstLine="440"/>
              <w:jc w:val="center"/>
              <w:rPr>
                <w:rFonts w:hint="eastAsia" w:ascii="宋体;SimSun" w:hAnsi="宋体;SimSun" w:cs="宋体;SimSun"/>
                <w:bCs/>
                <w:sz w:val="22"/>
                <w:szCs w:val="22"/>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560" w:hRule="atLeast"/>
        </w:trPr>
        <w:tc>
          <w:tcPr>
            <w:tcW w:w="1277"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1985" w:type="dxa"/>
            <w:tcBorders>
              <w:top w:val="single" w:color="000000" w:sz="4" w:space="0"/>
              <w:left w:val="single" w:color="000000" w:sz="4" w:space="0"/>
              <w:bottom w:val="single" w:color="000000" w:sz="4" w:space="0"/>
            </w:tcBorders>
            <w:shd w:val="clear" w:color="auto" w:fill="auto"/>
            <w:vAlign w:val="center"/>
          </w:tcPr>
          <w:p>
            <w:pPr>
              <w:tabs>
                <w:tab w:val="left" w:pos="0"/>
              </w:tabs>
              <w:spacing w:line="560" w:lineRule="exact"/>
              <w:rPr>
                <w:rFonts w:hint="eastAsia" w:ascii="宋体;SimSun" w:hAnsi="宋体;SimSun" w:cs="Calibri"/>
                <w:bCs/>
                <w:kern w:val="0"/>
                <w:sz w:val="22"/>
              </w:rPr>
            </w:pPr>
            <w:r>
              <w:rPr>
                <w:rFonts w:hint="eastAsia" w:ascii="宋体;SimSun" w:hAnsi="宋体;SimSun" w:cs="Calibri"/>
                <w:bCs/>
                <w:kern w:val="0"/>
                <w:sz w:val="22"/>
              </w:rPr>
              <w:t>技术研发能力</w:t>
            </w:r>
          </w:p>
        </w:tc>
        <w:tc>
          <w:tcPr>
            <w:tcW w:w="993" w:type="dxa"/>
            <w:tcBorders>
              <w:top w:val="single" w:color="000000" w:sz="4" w:space="0"/>
              <w:left w:val="single" w:color="000000" w:sz="4" w:space="0"/>
              <w:bottom w:val="single" w:color="000000" w:sz="4" w:space="0"/>
            </w:tcBorders>
            <w:shd w:val="clear" w:color="auto" w:fill="auto"/>
            <w:vAlign w:val="center"/>
          </w:tcPr>
          <w:p>
            <w:pPr>
              <w:tabs>
                <w:tab w:val="left" w:pos="0"/>
              </w:tabs>
              <w:spacing w:line="560" w:lineRule="exact"/>
              <w:rPr>
                <w:sz w:val="22"/>
              </w:rPr>
            </w:pPr>
            <w:r>
              <w:rPr>
                <w:rFonts w:hint="eastAsia" w:ascii="宋体;SimSun" w:hAnsi="宋体;SimSun" w:cs="宋体;SimSun"/>
                <w:bCs/>
                <w:kern w:val="0"/>
                <w:sz w:val="22"/>
              </w:rPr>
              <w:t>9</w:t>
            </w:r>
            <w:r>
              <w:rPr>
                <w:rFonts w:hint="eastAsia" w:ascii="宋体;SimSun" w:hAnsi="宋体;SimSun" w:cs="Calibri"/>
                <w:bCs/>
                <w:kern w:val="0"/>
                <w:sz w:val="22"/>
              </w:rPr>
              <w:t>分</w:t>
            </w:r>
          </w:p>
        </w:tc>
        <w:tc>
          <w:tcPr>
            <w:tcW w:w="48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1"/>
              <w:spacing w:line="360" w:lineRule="exact"/>
              <w:jc w:val="left"/>
              <w:rPr>
                <w:sz w:val="22"/>
                <w:szCs w:val="22"/>
              </w:rPr>
            </w:pPr>
            <w:r>
              <w:rPr>
                <w:rFonts w:hint="eastAsia" w:ascii="宋体;SimSun" w:hAnsi="宋体;SimSun" w:cs="Calibri"/>
                <w:bCs/>
                <w:sz w:val="22"/>
                <w:szCs w:val="22"/>
              </w:rPr>
              <w:t>平台自主研发（自有知识产权），得</w:t>
            </w:r>
            <w:r>
              <w:rPr>
                <w:rFonts w:hint="eastAsia" w:ascii="宋体;SimSun" w:hAnsi="宋体;SimSun" w:cs="宋体;SimSun"/>
                <w:bCs/>
                <w:sz w:val="22"/>
                <w:szCs w:val="22"/>
              </w:rPr>
              <w:t>3</w:t>
            </w:r>
            <w:r>
              <w:rPr>
                <w:rFonts w:hint="eastAsia" w:ascii="宋体;SimSun" w:hAnsi="宋体;SimSun" w:cs="Calibri"/>
                <w:bCs/>
                <w:sz w:val="22"/>
                <w:szCs w:val="22"/>
              </w:rPr>
              <w:t>分；</w:t>
            </w:r>
          </w:p>
          <w:p>
            <w:pPr>
              <w:pStyle w:val="21"/>
              <w:spacing w:line="360" w:lineRule="exact"/>
              <w:jc w:val="left"/>
              <w:rPr>
                <w:sz w:val="22"/>
                <w:szCs w:val="22"/>
              </w:rPr>
            </w:pPr>
            <w:r>
              <w:rPr>
                <w:rFonts w:hint="eastAsia" w:ascii="宋体;SimSun" w:hAnsi="宋体;SimSun" w:cs="宋体;SimSun"/>
                <w:bCs/>
                <w:sz w:val="22"/>
                <w:szCs w:val="22"/>
              </w:rPr>
              <w:t>GIS</w:t>
            </w:r>
            <w:r>
              <w:rPr>
                <w:rFonts w:hint="eastAsia" w:ascii="宋体;SimSun" w:hAnsi="宋体;SimSun" w:cs="Calibri"/>
                <w:bCs/>
                <w:sz w:val="22"/>
                <w:szCs w:val="22"/>
              </w:rPr>
              <w:t>系统自主研发（自有知识产权），得</w:t>
            </w:r>
            <w:r>
              <w:rPr>
                <w:rFonts w:hint="eastAsia" w:ascii="宋体;SimSun" w:hAnsi="宋体;SimSun" w:cs="宋体;SimSun"/>
                <w:bCs/>
                <w:sz w:val="22"/>
                <w:szCs w:val="22"/>
              </w:rPr>
              <w:t>3</w:t>
            </w:r>
            <w:r>
              <w:rPr>
                <w:rFonts w:hint="eastAsia" w:ascii="宋体;SimSun" w:hAnsi="宋体;SimSun" w:cs="Calibri"/>
                <w:bCs/>
                <w:sz w:val="22"/>
                <w:szCs w:val="22"/>
              </w:rPr>
              <w:t>分；</w:t>
            </w:r>
          </w:p>
          <w:p>
            <w:pPr>
              <w:pStyle w:val="21"/>
              <w:spacing w:line="360" w:lineRule="exact"/>
              <w:jc w:val="left"/>
              <w:rPr>
                <w:sz w:val="22"/>
                <w:szCs w:val="22"/>
              </w:rPr>
            </w:pPr>
            <w:r>
              <w:rPr>
                <w:rFonts w:hint="eastAsia" w:ascii="宋体;SimSun" w:hAnsi="宋体;SimSun" w:cs="Calibri"/>
                <w:bCs/>
                <w:sz w:val="22"/>
                <w:szCs w:val="22"/>
              </w:rPr>
              <w:t>车载终端自主研发，得</w:t>
            </w:r>
            <w:r>
              <w:rPr>
                <w:rFonts w:hint="eastAsia" w:ascii="宋体;SimSun" w:hAnsi="宋体;SimSun" w:cs="宋体;SimSun"/>
                <w:bCs/>
                <w:sz w:val="22"/>
                <w:szCs w:val="22"/>
              </w:rPr>
              <w:t>3</w:t>
            </w:r>
            <w:r>
              <w:rPr>
                <w:rFonts w:hint="eastAsia" w:ascii="宋体;SimSun" w:hAnsi="宋体;SimSun" w:cs="Calibri"/>
                <w:bCs/>
                <w:sz w:val="22"/>
                <w:szCs w:val="22"/>
              </w:rPr>
              <w:t>分。</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3456" w:hRule="atLeast"/>
        </w:trPr>
        <w:tc>
          <w:tcPr>
            <w:tcW w:w="1277"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1985" w:type="dxa"/>
            <w:vMerge w:val="restart"/>
            <w:tcBorders>
              <w:top w:val="single" w:color="000000" w:sz="4" w:space="0"/>
              <w:left w:val="single" w:color="000000" w:sz="4" w:space="0"/>
              <w:bottom w:val="single" w:color="000000" w:sz="4" w:space="0"/>
            </w:tcBorders>
            <w:shd w:val="clear" w:color="auto" w:fill="auto"/>
            <w:vAlign w:val="center"/>
          </w:tcPr>
          <w:p>
            <w:pPr>
              <w:pStyle w:val="21"/>
              <w:spacing w:line="360" w:lineRule="exact"/>
              <w:jc w:val="center"/>
              <w:rPr>
                <w:rFonts w:hint="eastAsia" w:ascii="宋体;SimSun" w:hAnsi="宋体;SimSun" w:cs="Calibri"/>
                <w:bCs/>
                <w:sz w:val="22"/>
                <w:szCs w:val="22"/>
              </w:rPr>
            </w:pPr>
            <w:r>
              <w:rPr>
                <w:rFonts w:hint="eastAsia" w:ascii="宋体;SimSun" w:hAnsi="宋体;SimSun" w:cs="Calibri"/>
                <w:bCs/>
                <w:sz w:val="22"/>
                <w:szCs w:val="22"/>
              </w:rPr>
              <w:t>产品类似业绩</w:t>
            </w:r>
          </w:p>
        </w:tc>
        <w:tc>
          <w:tcPr>
            <w:tcW w:w="993" w:type="dxa"/>
            <w:vMerge w:val="restart"/>
            <w:tcBorders>
              <w:top w:val="single" w:color="000000" w:sz="4" w:space="0"/>
              <w:left w:val="single" w:color="000000" w:sz="4" w:space="0"/>
              <w:bottom w:val="single" w:color="000000" w:sz="4" w:space="0"/>
            </w:tcBorders>
            <w:shd w:val="clear" w:color="auto" w:fill="auto"/>
            <w:vAlign w:val="center"/>
          </w:tcPr>
          <w:p>
            <w:pPr>
              <w:tabs>
                <w:tab w:val="left" w:pos="0"/>
              </w:tabs>
              <w:spacing w:line="560" w:lineRule="exact"/>
              <w:jc w:val="center"/>
              <w:rPr>
                <w:sz w:val="22"/>
              </w:rPr>
            </w:pPr>
            <w:r>
              <w:rPr>
                <w:rFonts w:hint="eastAsia" w:ascii="宋体;SimSun" w:hAnsi="宋体;SimSun" w:cs="宋体;SimSun"/>
                <w:bCs/>
                <w:kern w:val="0"/>
                <w:sz w:val="22"/>
              </w:rPr>
              <w:t>8</w:t>
            </w:r>
            <w:r>
              <w:rPr>
                <w:rFonts w:hint="eastAsia" w:ascii="宋体;SimSun" w:hAnsi="宋体;SimSun" w:cs="Calibri"/>
                <w:bCs/>
                <w:kern w:val="0"/>
                <w:sz w:val="22"/>
              </w:rPr>
              <w:t>分</w:t>
            </w:r>
          </w:p>
        </w:tc>
        <w:tc>
          <w:tcPr>
            <w:tcW w:w="4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1"/>
              <w:spacing w:line="360" w:lineRule="exact"/>
              <w:ind w:firstLine="440"/>
              <w:rPr>
                <w:sz w:val="22"/>
                <w:szCs w:val="22"/>
              </w:rPr>
            </w:pPr>
            <w:r>
              <w:rPr>
                <w:rFonts w:hint="eastAsia" w:ascii="宋体;SimSun" w:hAnsi="宋体;SimSun" w:cs="Calibri"/>
                <w:bCs/>
                <w:sz w:val="22"/>
                <w:szCs w:val="22"/>
              </w:rPr>
              <w:t>投标人（合同</w:t>
            </w:r>
            <w:r>
              <w:rPr>
                <w:rFonts w:ascii="宋体;SimSun" w:hAnsi="宋体;SimSun" w:cs="Calibri"/>
                <w:bCs/>
                <w:sz w:val="22"/>
                <w:szCs w:val="22"/>
              </w:rPr>
              <w:t>签订时间或部分服务期在</w:t>
            </w:r>
            <w:r>
              <w:rPr>
                <w:rFonts w:hint="eastAsia" w:ascii="宋体;SimSun" w:hAnsi="宋体;SimSun" w:cs="宋体;SimSun"/>
                <w:bCs/>
                <w:sz w:val="22"/>
                <w:szCs w:val="22"/>
              </w:rPr>
              <w:t>2016</w:t>
            </w:r>
            <w:r>
              <w:rPr>
                <w:rFonts w:hint="eastAsia" w:ascii="宋体;SimSun" w:hAnsi="宋体;SimSun" w:cs="Calibri"/>
                <w:bCs/>
                <w:sz w:val="22"/>
                <w:szCs w:val="22"/>
              </w:rPr>
              <w:t>年</w:t>
            </w:r>
            <w:r>
              <w:rPr>
                <w:rFonts w:hint="eastAsia" w:ascii="宋体;SimSun" w:hAnsi="宋体;SimSun" w:cs="宋体;SimSun"/>
                <w:bCs/>
                <w:sz w:val="22"/>
                <w:szCs w:val="22"/>
              </w:rPr>
              <w:t>1</w:t>
            </w:r>
            <w:r>
              <w:rPr>
                <w:rFonts w:hint="eastAsia" w:ascii="宋体;SimSun" w:hAnsi="宋体;SimSun" w:cs="Calibri"/>
                <w:bCs/>
                <w:sz w:val="22"/>
                <w:szCs w:val="22"/>
              </w:rPr>
              <w:t>月</w:t>
            </w:r>
            <w:r>
              <w:rPr>
                <w:rFonts w:hint="eastAsia" w:ascii="宋体;SimSun" w:hAnsi="宋体;SimSun" w:cs="宋体;SimSun"/>
                <w:bCs/>
                <w:sz w:val="22"/>
                <w:szCs w:val="22"/>
              </w:rPr>
              <w:t>1</w:t>
            </w:r>
            <w:r>
              <w:rPr>
                <w:rFonts w:hint="eastAsia" w:ascii="宋体;SimSun" w:hAnsi="宋体;SimSun" w:cs="Calibri"/>
                <w:bCs/>
                <w:sz w:val="22"/>
                <w:szCs w:val="22"/>
              </w:rPr>
              <w:t>日至</w:t>
            </w:r>
            <w:r>
              <w:rPr>
                <w:rFonts w:hint="eastAsia" w:ascii="宋体;SimSun" w:hAnsi="宋体;SimSun" w:cs="宋体;SimSun"/>
                <w:bCs/>
                <w:sz w:val="22"/>
                <w:szCs w:val="22"/>
              </w:rPr>
              <w:t>投标截止日之内</w:t>
            </w:r>
            <w:r>
              <w:rPr>
                <w:rFonts w:ascii="宋体;SimSun" w:hAnsi="宋体;SimSun" w:cs="宋体;SimSun"/>
                <w:bCs/>
                <w:sz w:val="22"/>
                <w:szCs w:val="22"/>
              </w:rPr>
              <w:t>）</w:t>
            </w:r>
            <w:r>
              <w:rPr>
                <w:rFonts w:hint="eastAsia" w:ascii="宋体;SimSun" w:hAnsi="宋体;SimSun" w:cs="Calibri"/>
                <w:bCs/>
                <w:sz w:val="22"/>
                <w:szCs w:val="22"/>
              </w:rPr>
              <w:t>在中国大陆（不含台港澳）有类似项目业绩。提供</w:t>
            </w:r>
            <w:r>
              <w:rPr>
                <w:rFonts w:ascii="宋体;SimSun" w:hAnsi="宋体;SimSun" w:cs="Calibri"/>
                <w:bCs/>
                <w:sz w:val="22"/>
                <w:szCs w:val="22"/>
              </w:rPr>
              <w:t>一项</w:t>
            </w:r>
            <w:r>
              <w:rPr>
                <w:rFonts w:hint="eastAsia" w:ascii="宋体;SimSun" w:hAnsi="宋体;SimSun" w:cs="Calibri"/>
                <w:bCs/>
                <w:sz w:val="22"/>
                <w:szCs w:val="22"/>
              </w:rPr>
              <w:t>有效业绩</w:t>
            </w:r>
            <w:r>
              <w:rPr>
                <w:rFonts w:ascii="宋体;SimSun" w:hAnsi="宋体;SimSun" w:cs="Calibri"/>
                <w:bCs/>
                <w:sz w:val="22"/>
                <w:szCs w:val="22"/>
              </w:rPr>
              <w:t>不得分，</w:t>
            </w:r>
            <w:r>
              <w:rPr>
                <w:rFonts w:hint="eastAsia" w:ascii="宋体;SimSun" w:hAnsi="宋体;SimSun" w:cs="Calibri"/>
                <w:bCs/>
                <w:sz w:val="22"/>
                <w:szCs w:val="22"/>
              </w:rPr>
              <w:t>每多提供</w:t>
            </w:r>
            <w:r>
              <w:rPr>
                <w:rFonts w:hint="eastAsia" w:ascii="宋体;SimSun" w:hAnsi="宋体;SimSun" w:cs="宋体;SimSun"/>
                <w:bCs/>
                <w:sz w:val="22"/>
                <w:szCs w:val="22"/>
              </w:rPr>
              <w:t>1</w:t>
            </w:r>
            <w:r>
              <w:rPr>
                <w:rFonts w:hint="eastAsia" w:ascii="宋体;SimSun" w:hAnsi="宋体;SimSun" w:cs="Calibri"/>
                <w:bCs/>
                <w:sz w:val="22"/>
                <w:szCs w:val="22"/>
              </w:rPr>
              <w:t>项有效业绩，得</w:t>
            </w:r>
            <w:r>
              <w:rPr>
                <w:rFonts w:hint="eastAsia" w:ascii="宋体;SimSun" w:hAnsi="宋体;SimSun" w:cs="宋体;SimSun"/>
                <w:bCs/>
                <w:sz w:val="22"/>
                <w:szCs w:val="22"/>
              </w:rPr>
              <w:t>2</w:t>
            </w:r>
            <w:r>
              <w:rPr>
                <w:rFonts w:hint="eastAsia" w:ascii="宋体;SimSun" w:hAnsi="宋体;SimSun" w:cs="Calibri"/>
                <w:bCs/>
                <w:sz w:val="22"/>
                <w:szCs w:val="22"/>
              </w:rPr>
              <w:t>分；最高得</w:t>
            </w:r>
            <w:r>
              <w:rPr>
                <w:rFonts w:hint="eastAsia" w:ascii="宋体;SimSun" w:hAnsi="宋体;SimSun" w:cs="宋体;SimSun"/>
                <w:bCs/>
                <w:sz w:val="22"/>
                <w:szCs w:val="22"/>
              </w:rPr>
              <w:t>8</w:t>
            </w:r>
            <w:r>
              <w:rPr>
                <w:rFonts w:hint="eastAsia" w:ascii="宋体;SimSun" w:hAnsi="宋体;SimSun" w:cs="Calibri"/>
                <w:bCs/>
                <w:sz w:val="22"/>
                <w:szCs w:val="22"/>
              </w:rPr>
              <w:t>分；</w:t>
            </w:r>
          </w:p>
          <w:p>
            <w:pPr>
              <w:pStyle w:val="21"/>
              <w:spacing w:line="360" w:lineRule="exact"/>
              <w:ind w:firstLine="440"/>
              <w:rPr>
                <w:sz w:val="22"/>
                <w:szCs w:val="22"/>
              </w:rPr>
            </w:pPr>
            <w:r>
              <w:rPr>
                <w:rFonts w:hint="eastAsia" w:ascii="宋体;SimSun" w:hAnsi="宋体;SimSun" w:cs="Calibri"/>
                <w:bCs/>
                <w:sz w:val="22"/>
                <w:szCs w:val="22"/>
              </w:rPr>
              <w:t>有效业绩指：（同时满足下述要求）：</w:t>
            </w:r>
            <w:r>
              <w:rPr>
                <w:rFonts w:hint="eastAsia" w:ascii="宋体;SimSun" w:hAnsi="宋体;SimSun" w:cs="宋体;SimSun"/>
                <w:bCs/>
                <w:sz w:val="22"/>
                <w:szCs w:val="22"/>
              </w:rPr>
              <w:br w:type="textWrapping"/>
            </w:r>
            <w:r>
              <w:rPr>
                <w:rFonts w:hint="eastAsia" w:ascii="宋体;SimSun" w:hAnsi="宋体;SimSun" w:cs="Calibri"/>
                <w:bCs/>
                <w:sz w:val="22"/>
                <w:szCs w:val="22"/>
              </w:rPr>
              <w:t>（</w:t>
            </w:r>
            <w:r>
              <w:rPr>
                <w:rFonts w:hint="eastAsia" w:ascii="宋体;SimSun" w:hAnsi="宋体;SimSun" w:cs="宋体;SimSun"/>
                <w:bCs/>
                <w:sz w:val="22"/>
                <w:szCs w:val="22"/>
              </w:rPr>
              <w:t>a</w:t>
            </w:r>
            <w:r>
              <w:rPr>
                <w:rFonts w:hint="eastAsia" w:ascii="宋体;SimSun" w:hAnsi="宋体;SimSun" w:cs="Calibri"/>
                <w:bCs/>
                <w:sz w:val="22"/>
                <w:szCs w:val="22"/>
              </w:rPr>
              <w:t>）单个业绩时间范围：合同</w:t>
            </w:r>
            <w:r>
              <w:rPr>
                <w:rFonts w:ascii="宋体;SimSun" w:hAnsi="宋体;SimSun" w:cs="Calibri"/>
                <w:bCs/>
                <w:sz w:val="22"/>
                <w:szCs w:val="22"/>
              </w:rPr>
              <w:t>签订时间或部分服务期在</w:t>
            </w:r>
            <w:r>
              <w:rPr>
                <w:rFonts w:hint="eastAsia" w:ascii="宋体;SimSun" w:hAnsi="宋体;SimSun" w:cs="宋体;SimSun"/>
                <w:bCs/>
                <w:sz w:val="22"/>
                <w:szCs w:val="22"/>
              </w:rPr>
              <w:t>2016</w:t>
            </w:r>
            <w:r>
              <w:rPr>
                <w:rFonts w:hint="eastAsia" w:ascii="宋体;SimSun" w:hAnsi="宋体;SimSun" w:cs="Calibri"/>
                <w:bCs/>
                <w:sz w:val="22"/>
                <w:szCs w:val="22"/>
              </w:rPr>
              <w:t>年</w:t>
            </w:r>
            <w:r>
              <w:rPr>
                <w:rFonts w:hint="eastAsia" w:ascii="宋体;SimSun" w:hAnsi="宋体;SimSun" w:cs="宋体;SimSun"/>
                <w:bCs/>
                <w:sz w:val="22"/>
                <w:szCs w:val="22"/>
              </w:rPr>
              <w:t>1</w:t>
            </w:r>
            <w:r>
              <w:rPr>
                <w:rFonts w:hint="eastAsia" w:ascii="宋体;SimSun" w:hAnsi="宋体;SimSun" w:cs="Calibri"/>
                <w:bCs/>
                <w:sz w:val="22"/>
                <w:szCs w:val="22"/>
              </w:rPr>
              <w:t>月</w:t>
            </w:r>
            <w:r>
              <w:rPr>
                <w:rFonts w:hint="eastAsia" w:ascii="宋体;SimSun" w:hAnsi="宋体;SimSun" w:cs="宋体;SimSun"/>
                <w:bCs/>
                <w:sz w:val="22"/>
                <w:szCs w:val="22"/>
              </w:rPr>
              <w:t>1</w:t>
            </w:r>
            <w:r>
              <w:rPr>
                <w:rFonts w:hint="eastAsia" w:ascii="宋体;SimSun" w:hAnsi="宋体;SimSun" w:cs="Calibri"/>
                <w:bCs/>
                <w:sz w:val="22"/>
                <w:szCs w:val="22"/>
              </w:rPr>
              <w:t>日至</w:t>
            </w:r>
            <w:r>
              <w:rPr>
                <w:rFonts w:hint="eastAsia" w:ascii="宋体;SimSun" w:hAnsi="宋体;SimSun" w:cs="宋体;SimSun"/>
                <w:bCs/>
                <w:sz w:val="22"/>
                <w:szCs w:val="22"/>
              </w:rPr>
              <w:t>投标截止日之内</w:t>
            </w:r>
            <w:r>
              <w:rPr>
                <w:rFonts w:hint="eastAsia" w:ascii="宋体;SimSun" w:hAnsi="宋体;SimSun" w:cs="Calibri"/>
                <w:bCs/>
                <w:sz w:val="22"/>
                <w:szCs w:val="22"/>
              </w:rPr>
              <w:t>；</w:t>
            </w:r>
            <w:r>
              <w:rPr>
                <w:rFonts w:hint="eastAsia" w:ascii="宋体;SimSun" w:hAnsi="宋体;SimSun" w:cs="宋体;SimSun"/>
                <w:bCs/>
                <w:sz w:val="22"/>
                <w:szCs w:val="22"/>
              </w:rPr>
              <w:br w:type="textWrapping"/>
            </w:r>
            <w:r>
              <w:rPr>
                <w:rFonts w:hint="eastAsia" w:ascii="宋体;SimSun" w:hAnsi="宋体;SimSun" w:cs="Calibri"/>
                <w:bCs/>
                <w:sz w:val="22"/>
                <w:szCs w:val="22"/>
              </w:rPr>
              <w:t>（</w:t>
            </w:r>
            <w:r>
              <w:rPr>
                <w:rFonts w:hint="eastAsia" w:ascii="宋体;SimSun" w:hAnsi="宋体;SimSun" w:cs="宋体;SimSun"/>
                <w:bCs/>
                <w:sz w:val="22"/>
                <w:szCs w:val="22"/>
              </w:rPr>
              <w:t>b</w:t>
            </w:r>
            <w:r>
              <w:rPr>
                <w:rFonts w:hint="eastAsia" w:ascii="宋体;SimSun" w:hAnsi="宋体;SimSun" w:cs="Calibri"/>
                <w:bCs/>
                <w:sz w:val="22"/>
                <w:szCs w:val="22"/>
              </w:rPr>
              <w:t>）业绩证明文件：须提供合同关键页复印件（须清晰体现合同内容、签署日期、合同甲乙双方）或用户证明文件；原件备查；</w:t>
            </w:r>
            <w:r>
              <w:rPr>
                <w:rFonts w:hint="eastAsia" w:ascii="宋体;SimSun" w:hAnsi="宋体;SimSun" w:cs="宋体;SimSun"/>
                <w:bCs/>
                <w:sz w:val="22"/>
                <w:szCs w:val="22"/>
              </w:rPr>
              <w:br w:type="textWrapping"/>
            </w:r>
            <w:r>
              <w:rPr>
                <w:rFonts w:hint="eastAsia" w:ascii="宋体;SimSun" w:hAnsi="宋体;SimSun" w:cs="Calibri"/>
                <w:bCs/>
                <w:sz w:val="22"/>
                <w:szCs w:val="22"/>
              </w:rPr>
              <w:t>（</w:t>
            </w:r>
            <w:r>
              <w:rPr>
                <w:rFonts w:hint="eastAsia" w:ascii="宋体;SimSun" w:hAnsi="宋体;SimSun" w:cs="宋体;SimSun"/>
                <w:bCs/>
                <w:sz w:val="22"/>
                <w:szCs w:val="22"/>
              </w:rPr>
              <w:t>c</w:t>
            </w:r>
            <w:r>
              <w:rPr>
                <w:rFonts w:hint="eastAsia" w:ascii="宋体;SimSun" w:hAnsi="宋体;SimSun" w:cs="Calibri"/>
                <w:bCs/>
                <w:sz w:val="22"/>
                <w:szCs w:val="22"/>
              </w:rPr>
              <w:t>）加盖投标人公章。</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3456" w:hRule="atLeast"/>
        </w:trPr>
        <w:tc>
          <w:tcPr>
            <w:tcW w:w="1277"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1985" w:type="dxa"/>
            <w:vMerge w:val="continue"/>
            <w:tcBorders>
              <w:top w:val="single" w:color="000000" w:sz="4" w:space="0"/>
              <w:left w:val="single" w:color="000000" w:sz="4" w:space="0"/>
              <w:bottom w:val="single" w:color="000000" w:sz="4" w:space="0"/>
            </w:tcBorders>
            <w:shd w:val="clear" w:color="auto" w:fill="auto"/>
            <w:vAlign w:val="center"/>
          </w:tcPr>
          <w:p>
            <w:pPr>
              <w:pStyle w:val="21"/>
              <w:snapToGrid w:val="0"/>
              <w:spacing w:line="360" w:lineRule="exact"/>
              <w:rPr>
                <w:rFonts w:hint="eastAsia" w:ascii="宋体;SimSun" w:hAnsi="宋体;SimSun" w:cs="宋体;SimSun"/>
                <w:bCs/>
                <w:sz w:val="22"/>
                <w:szCs w:val="22"/>
              </w:rPr>
            </w:pPr>
          </w:p>
        </w:tc>
        <w:tc>
          <w:tcPr>
            <w:tcW w:w="993"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jc w:val="center"/>
              <w:rPr>
                <w:rFonts w:hint="eastAsia" w:ascii="宋体;SimSun" w:hAnsi="宋体;SimSun" w:cs="宋体;SimSun"/>
                <w:bCs/>
                <w:kern w:val="0"/>
                <w:sz w:val="22"/>
              </w:rPr>
            </w:pPr>
          </w:p>
        </w:tc>
        <w:tc>
          <w:tcPr>
            <w:tcW w:w="4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21"/>
              <w:snapToGrid w:val="0"/>
              <w:spacing w:line="360" w:lineRule="exact"/>
              <w:ind w:firstLine="440"/>
              <w:rPr>
                <w:rFonts w:hint="eastAsia" w:ascii="宋体;SimSun" w:hAnsi="宋体;SimSun" w:cs="宋体;SimSun"/>
                <w:bCs/>
                <w:sz w:val="22"/>
                <w:szCs w:val="22"/>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560" w:hRule="atLeast"/>
        </w:trPr>
        <w:tc>
          <w:tcPr>
            <w:tcW w:w="1277"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1985"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993"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4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576" w:hRule="atLeast"/>
        </w:trPr>
        <w:tc>
          <w:tcPr>
            <w:tcW w:w="1277"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1985" w:type="dxa"/>
            <w:tcBorders>
              <w:top w:val="single" w:color="000000" w:sz="4" w:space="0"/>
              <w:left w:val="single" w:color="000000" w:sz="4" w:space="0"/>
              <w:bottom w:val="single" w:color="000000" w:sz="4" w:space="0"/>
            </w:tcBorders>
            <w:shd w:val="clear" w:color="auto" w:fill="auto"/>
            <w:vAlign w:val="center"/>
          </w:tcPr>
          <w:p>
            <w:pPr>
              <w:tabs>
                <w:tab w:val="left" w:pos="0"/>
              </w:tabs>
              <w:spacing w:line="560" w:lineRule="exact"/>
              <w:jc w:val="center"/>
              <w:rPr>
                <w:rFonts w:hint="eastAsia" w:ascii="宋体;SimSun" w:hAnsi="宋体;SimSun" w:cs="Calibri"/>
                <w:bCs/>
                <w:kern w:val="0"/>
                <w:sz w:val="22"/>
              </w:rPr>
            </w:pPr>
            <w:r>
              <w:rPr>
                <w:rFonts w:hint="eastAsia" w:ascii="宋体;SimSun" w:hAnsi="宋体;SimSun" w:cs="Calibri"/>
                <w:bCs/>
                <w:kern w:val="0"/>
                <w:sz w:val="22"/>
              </w:rPr>
              <w:t>服务承诺</w:t>
            </w:r>
          </w:p>
        </w:tc>
        <w:tc>
          <w:tcPr>
            <w:tcW w:w="993" w:type="dxa"/>
            <w:tcBorders>
              <w:top w:val="single" w:color="000000" w:sz="4" w:space="0"/>
              <w:left w:val="single" w:color="000000" w:sz="4" w:space="0"/>
              <w:bottom w:val="single" w:color="000000" w:sz="4" w:space="0"/>
            </w:tcBorders>
            <w:shd w:val="clear" w:color="auto" w:fill="auto"/>
            <w:vAlign w:val="center"/>
          </w:tcPr>
          <w:p>
            <w:pPr>
              <w:tabs>
                <w:tab w:val="left" w:pos="0"/>
              </w:tabs>
              <w:spacing w:line="560" w:lineRule="exact"/>
              <w:jc w:val="center"/>
              <w:rPr>
                <w:sz w:val="22"/>
              </w:rPr>
            </w:pPr>
            <w:r>
              <w:rPr>
                <w:rFonts w:hint="eastAsia" w:ascii="宋体;SimSun" w:hAnsi="宋体;SimSun" w:cs="宋体;SimSun"/>
                <w:bCs/>
                <w:kern w:val="0"/>
                <w:sz w:val="22"/>
              </w:rPr>
              <w:t>2</w:t>
            </w:r>
            <w:r>
              <w:rPr>
                <w:rFonts w:hint="eastAsia" w:ascii="宋体;SimSun" w:hAnsi="宋体;SimSun" w:cs="Calibri"/>
                <w:bCs/>
                <w:kern w:val="0"/>
                <w:sz w:val="22"/>
              </w:rPr>
              <w:t>分</w:t>
            </w:r>
          </w:p>
        </w:tc>
        <w:tc>
          <w:tcPr>
            <w:tcW w:w="48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1"/>
              <w:spacing w:line="360" w:lineRule="exact"/>
              <w:rPr>
                <w:rFonts w:hint="eastAsia" w:ascii="宋体;SimSun" w:hAnsi="宋体;SimSun" w:cs="Calibri"/>
                <w:bCs/>
                <w:sz w:val="22"/>
                <w:szCs w:val="22"/>
              </w:rPr>
            </w:pPr>
            <w:r>
              <w:rPr>
                <w:rFonts w:hint="eastAsia" w:ascii="宋体;SimSun" w:hAnsi="宋体;SimSun" w:cs="Calibri"/>
                <w:bCs/>
                <w:sz w:val="22"/>
                <w:szCs w:val="22"/>
              </w:rPr>
              <w:t>根据售后服务体系、承诺（响应时间、机构保障、新技术培训等）进行评分。</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789" w:hRule="atLeast"/>
        </w:trPr>
        <w:tc>
          <w:tcPr>
            <w:tcW w:w="1277"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1985" w:type="dxa"/>
            <w:vMerge w:val="restart"/>
            <w:tcBorders>
              <w:top w:val="single" w:color="000000" w:sz="4" w:space="0"/>
              <w:left w:val="single" w:color="000000" w:sz="4" w:space="0"/>
              <w:bottom w:val="single" w:color="000000" w:sz="4" w:space="0"/>
            </w:tcBorders>
            <w:shd w:val="clear" w:color="auto" w:fill="auto"/>
            <w:vAlign w:val="center"/>
          </w:tcPr>
          <w:p>
            <w:pPr>
              <w:pStyle w:val="21"/>
              <w:spacing w:line="360" w:lineRule="exact"/>
              <w:jc w:val="center"/>
              <w:rPr>
                <w:rFonts w:hint="eastAsia" w:ascii="宋体;SimSun" w:hAnsi="宋体;SimSun" w:cs="Calibri"/>
                <w:bCs/>
                <w:sz w:val="22"/>
                <w:szCs w:val="22"/>
              </w:rPr>
            </w:pPr>
            <w:r>
              <w:rPr>
                <w:rFonts w:hint="eastAsia" w:ascii="宋体;SimSun" w:hAnsi="宋体;SimSun" w:cs="Calibri"/>
                <w:bCs/>
                <w:sz w:val="22"/>
                <w:szCs w:val="22"/>
              </w:rPr>
              <w:t>关键技术指标比较情况</w:t>
            </w:r>
          </w:p>
        </w:tc>
        <w:tc>
          <w:tcPr>
            <w:tcW w:w="993" w:type="dxa"/>
            <w:tcBorders>
              <w:top w:val="single" w:color="000000" w:sz="4" w:space="0"/>
              <w:left w:val="single" w:color="000000" w:sz="4" w:space="0"/>
              <w:bottom w:val="single" w:color="000000" w:sz="4" w:space="0"/>
            </w:tcBorders>
            <w:shd w:val="clear" w:color="auto" w:fill="auto"/>
            <w:vAlign w:val="center"/>
          </w:tcPr>
          <w:p>
            <w:pPr>
              <w:tabs>
                <w:tab w:val="left" w:pos="0"/>
              </w:tabs>
              <w:spacing w:line="560" w:lineRule="exact"/>
              <w:jc w:val="center"/>
              <w:rPr>
                <w:sz w:val="22"/>
              </w:rPr>
            </w:pPr>
            <w:r>
              <w:rPr>
                <w:rFonts w:hint="eastAsia" w:ascii="宋体;SimSun" w:hAnsi="宋体;SimSun" w:cs="宋体;SimSun"/>
                <w:bCs/>
                <w:kern w:val="0"/>
                <w:sz w:val="22"/>
              </w:rPr>
              <w:t>10</w:t>
            </w:r>
            <w:r>
              <w:rPr>
                <w:rFonts w:hint="eastAsia" w:ascii="宋体;SimSun" w:hAnsi="宋体;SimSun" w:cs="Calibri"/>
                <w:bCs/>
                <w:kern w:val="0"/>
                <w:sz w:val="22"/>
              </w:rPr>
              <w:t>分</w:t>
            </w:r>
          </w:p>
        </w:tc>
        <w:tc>
          <w:tcPr>
            <w:tcW w:w="48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1"/>
              <w:spacing w:line="360" w:lineRule="exact"/>
              <w:rPr>
                <w:sz w:val="22"/>
                <w:szCs w:val="22"/>
              </w:rPr>
            </w:pPr>
            <w:r>
              <w:rPr>
                <w:rFonts w:hint="eastAsia" w:ascii="宋体;SimSun" w:hAnsi="宋体;SimSun" w:cs="Calibri"/>
                <w:bCs/>
                <w:sz w:val="22"/>
                <w:szCs w:val="22"/>
              </w:rPr>
              <w:t>平台侧：系统功能列表中每一项负偏离扣1分，</w:t>
            </w:r>
            <w:r>
              <w:rPr>
                <w:rFonts w:ascii="宋体;SimSun" w:hAnsi="宋体;SimSun" w:cs="Calibri"/>
                <w:bCs/>
                <w:sz w:val="22"/>
                <w:szCs w:val="22"/>
              </w:rPr>
              <w:t>无负偏离</w:t>
            </w:r>
            <w:r>
              <w:rPr>
                <w:rFonts w:hint="eastAsia" w:ascii="宋体;SimSun" w:hAnsi="宋体;SimSun" w:cs="Calibri"/>
                <w:bCs/>
                <w:sz w:val="22"/>
                <w:szCs w:val="22"/>
              </w:rPr>
              <w:t>得10分</w:t>
            </w:r>
            <w:r>
              <w:rPr>
                <w:rFonts w:ascii="宋体;SimSun" w:hAnsi="宋体;SimSun" w:cs="Calibri"/>
                <w:bCs/>
                <w:sz w:val="22"/>
                <w:szCs w:val="22"/>
              </w:rPr>
              <w:t>。</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864" w:hRule="atLeast"/>
        </w:trPr>
        <w:tc>
          <w:tcPr>
            <w:tcW w:w="1277" w:type="dxa"/>
            <w:vMerge w:val="continue"/>
            <w:tcBorders>
              <w:top w:val="single" w:color="000000" w:sz="4" w:space="0"/>
              <w:left w:val="single" w:color="000000" w:sz="4" w:space="0"/>
              <w:bottom w:val="single" w:color="000000" w:sz="4" w:space="0"/>
            </w:tcBorders>
            <w:shd w:val="clear" w:color="auto" w:fill="auto"/>
            <w:vAlign w:val="center"/>
          </w:tcPr>
          <w:p>
            <w:pPr>
              <w:tabs>
                <w:tab w:val="left" w:pos="0"/>
              </w:tabs>
              <w:snapToGrid w:val="0"/>
              <w:spacing w:line="560" w:lineRule="exact"/>
              <w:ind w:firstLine="440"/>
              <w:jc w:val="center"/>
              <w:rPr>
                <w:rFonts w:hint="eastAsia" w:ascii="宋体;SimSun" w:hAnsi="宋体;SimSun" w:cs="宋体;SimSun"/>
                <w:bCs/>
                <w:kern w:val="0"/>
                <w:sz w:val="22"/>
              </w:rPr>
            </w:pPr>
          </w:p>
        </w:tc>
        <w:tc>
          <w:tcPr>
            <w:tcW w:w="1985" w:type="dxa"/>
            <w:vMerge w:val="continue"/>
            <w:tcBorders>
              <w:top w:val="single" w:color="000000" w:sz="4" w:space="0"/>
              <w:left w:val="single" w:color="000000" w:sz="4" w:space="0"/>
              <w:bottom w:val="single" w:color="000000" w:sz="4" w:space="0"/>
            </w:tcBorders>
            <w:shd w:val="clear" w:color="auto" w:fill="auto"/>
            <w:vAlign w:val="center"/>
          </w:tcPr>
          <w:p>
            <w:pPr>
              <w:pStyle w:val="21"/>
              <w:snapToGrid w:val="0"/>
              <w:spacing w:line="360" w:lineRule="exact"/>
              <w:rPr>
                <w:rFonts w:hint="eastAsia" w:ascii="宋体;SimSun" w:hAnsi="宋体;SimSun" w:cs="宋体;SimSun"/>
                <w:bCs/>
                <w:sz w:val="22"/>
                <w:szCs w:val="22"/>
              </w:rPr>
            </w:pPr>
          </w:p>
        </w:tc>
        <w:tc>
          <w:tcPr>
            <w:tcW w:w="993" w:type="dxa"/>
            <w:tcBorders>
              <w:top w:val="single" w:color="000000" w:sz="4" w:space="0"/>
              <w:left w:val="single" w:color="000000" w:sz="4" w:space="0"/>
              <w:bottom w:val="single" w:color="000000" w:sz="4" w:space="0"/>
            </w:tcBorders>
            <w:shd w:val="clear" w:color="auto" w:fill="auto"/>
            <w:vAlign w:val="center"/>
          </w:tcPr>
          <w:p>
            <w:pPr>
              <w:tabs>
                <w:tab w:val="left" w:pos="0"/>
              </w:tabs>
              <w:spacing w:line="560" w:lineRule="exact"/>
              <w:jc w:val="center"/>
              <w:rPr>
                <w:sz w:val="22"/>
              </w:rPr>
            </w:pPr>
            <w:r>
              <w:rPr>
                <w:rFonts w:hint="eastAsia" w:ascii="宋体;SimSun" w:hAnsi="宋体;SimSun" w:cs="宋体;SimSun"/>
                <w:bCs/>
                <w:kern w:val="0"/>
                <w:sz w:val="22"/>
              </w:rPr>
              <w:t>8</w:t>
            </w:r>
            <w:r>
              <w:rPr>
                <w:rFonts w:hint="eastAsia" w:ascii="宋体;SimSun" w:hAnsi="宋体;SimSun" w:cs="Calibri"/>
                <w:bCs/>
                <w:kern w:val="0"/>
                <w:sz w:val="22"/>
              </w:rPr>
              <w:t>分</w:t>
            </w:r>
          </w:p>
        </w:tc>
        <w:tc>
          <w:tcPr>
            <w:tcW w:w="48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1"/>
              <w:spacing w:line="360" w:lineRule="exact"/>
              <w:rPr>
                <w:sz w:val="22"/>
                <w:szCs w:val="22"/>
              </w:rPr>
            </w:pPr>
            <w:r>
              <w:rPr>
                <w:rFonts w:hint="eastAsia" w:ascii="宋体;SimSun" w:hAnsi="宋体;SimSun" w:cs="Calibri"/>
                <w:bCs/>
                <w:sz w:val="22"/>
                <w:szCs w:val="22"/>
              </w:rPr>
              <w:t>终端侧：支持</w:t>
            </w:r>
            <w:r>
              <w:rPr>
                <w:rFonts w:hint="eastAsia" w:ascii="宋体;SimSun" w:hAnsi="宋体;SimSun" w:cs="宋体;SimSun"/>
                <w:bCs/>
                <w:sz w:val="22"/>
                <w:szCs w:val="22"/>
              </w:rPr>
              <w:t>AGPS</w:t>
            </w:r>
            <w:r>
              <w:rPr>
                <w:rFonts w:hint="eastAsia" w:ascii="宋体;SimSun" w:hAnsi="宋体;SimSun" w:cs="Calibri"/>
                <w:bCs/>
                <w:sz w:val="22"/>
                <w:szCs w:val="22"/>
              </w:rPr>
              <w:t>功能，得</w:t>
            </w:r>
            <w:r>
              <w:rPr>
                <w:rFonts w:hint="eastAsia" w:ascii="宋体;SimSun" w:hAnsi="宋体;SimSun" w:cs="宋体;SimSun"/>
                <w:bCs/>
                <w:sz w:val="22"/>
                <w:szCs w:val="22"/>
              </w:rPr>
              <w:t>1</w:t>
            </w:r>
            <w:r>
              <w:rPr>
                <w:rFonts w:hint="eastAsia" w:ascii="宋体;SimSun" w:hAnsi="宋体;SimSun" w:cs="Calibri"/>
                <w:bCs/>
                <w:sz w:val="22"/>
                <w:szCs w:val="22"/>
              </w:rPr>
              <w:t>分</w:t>
            </w:r>
          </w:p>
          <w:p>
            <w:pPr>
              <w:pStyle w:val="21"/>
              <w:spacing w:line="360" w:lineRule="exact"/>
              <w:rPr>
                <w:sz w:val="22"/>
                <w:szCs w:val="22"/>
              </w:rPr>
            </w:pPr>
            <w:r>
              <w:rPr>
                <w:rFonts w:hint="eastAsia" w:ascii="宋体;SimSun" w:hAnsi="宋体;SimSun" w:cs="宋体;SimSun"/>
                <w:bCs/>
                <w:sz w:val="22"/>
                <w:szCs w:val="22"/>
              </w:rPr>
              <w:t xml:space="preserve">        </w:t>
            </w:r>
            <w:r>
              <w:rPr>
                <w:rFonts w:hint="eastAsia" w:ascii="宋体;SimSun" w:hAnsi="宋体;SimSun" w:cs="Calibri"/>
                <w:bCs/>
                <w:sz w:val="22"/>
                <w:szCs w:val="22"/>
              </w:rPr>
              <w:t>自适应支持全网通通信卡，得</w:t>
            </w:r>
            <w:r>
              <w:rPr>
                <w:rFonts w:hint="eastAsia" w:ascii="宋体;SimSun" w:hAnsi="宋体;SimSun" w:cs="宋体;SimSun"/>
                <w:bCs/>
                <w:sz w:val="22"/>
                <w:szCs w:val="22"/>
              </w:rPr>
              <w:t>2</w:t>
            </w:r>
            <w:r>
              <w:rPr>
                <w:rFonts w:hint="eastAsia" w:ascii="宋体;SimSun" w:hAnsi="宋体;SimSun" w:cs="Calibri"/>
                <w:bCs/>
                <w:sz w:val="22"/>
                <w:szCs w:val="22"/>
              </w:rPr>
              <w:t>分</w:t>
            </w:r>
          </w:p>
          <w:p>
            <w:pPr>
              <w:pStyle w:val="21"/>
              <w:spacing w:line="360" w:lineRule="exact"/>
              <w:rPr>
                <w:sz w:val="22"/>
                <w:szCs w:val="22"/>
              </w:rPr>
            </w:pPr>
            <w:r>
              <w:rPr>
                <w:rFonts w:hint="eastAsia" w:ascii="宋体;SimSun" w:hAnsi="宋体;SimSun" w:cs="宋体;SimSun"/>
                <w:bCs/>
                <w:sz w:val="22"/>
                <w:szCs w:val="22"/>
              </w:rPr>
              <w:t xml:space="preserve">        </w:t>
            </w:r>
            <w:r>
              <w:rPr>
                <w:rFonts w:hint="eastAsia" w:ascii="宋体;SimSun" w:hAnsi="宋体;SimSun" w:cs="Calibri"/>
                <w:bCs/>
                <w:sz w:val="22"/>
                <w:szCs w:val="22"/>
              </w:rPr>
              <w:t>支持北斗</w:t>
            </w:r>
            <w:r>
              <w:rPr>
                <w:rFonts w:hint="eastAsia" w:ascii="宋体;SimSun" w:hAnsi="宋体;SimSun" w:cs="宋体;SimSun"/>
                <w:bCs/>
                <w:sz w:val="22"/>
                <w:szCs w:val="22"/>
              </w:rPr>
              <w:t>+GPS</w:t>
            </w:r>
            <w:r>
              <w:rPr>
                <w:rFonts w:hint="eastAsia" w:ascii="宋体;SimSun" w:hAnsi="宋体;SimSun" w:cs="Calibri"/>
                <w:bCs/>
                <w:sz w:val="22"/>
                <w:szCs w:val="22"/>
              </w:rPr>
              <w:t>多模定位，得</w:t>
            </w:r>
            <w:r>
              <w:rPr>
                <w:rFonts w:hint="eastAsia" w:ascii="宋体;SimSun" w:hAnsi="宋体;SimSun" w:cs="宋体;SimSun"/>
                <w:bCs/>
                <w:sz w:val="22"/>
                <w:szCs w:val="22"/>
              </w:rPr>
              <w:t>1</w:t>
            </w:r>
            <w:r>
              <w:rPr>
                <w:rFonts w:hint="eastAsia" w:ascii="宋体;SimSun" w:hAnsi="宋体;SimSun" w:cs="Calibri"/>
                <w:bCs/>
                <w:sz w:val="22"/>
                <w:szCs w:val="22"/>
              </w:rPr>
              <w:t>分</w:t>
            </w:r>
          </w:p>
          <w:p>
            <w:pPr>
              <w:pStyle w:val="21"/>
              <w:spacing w:line="360" w:lineRule="exact"/>
              <w:ind w:left="880" w:hanging="880"/>
              <w:rPr>
                <w:sz w:val="22"/>
                <w:szCs w:val="22"/>
              </w:rPr>
            </w:pPr>
            <w:r>
              <w:rPr>
                <w:rFonts w:hint="eastAsia" w:ascii="宋体;SimSun" w:hAnsi="宋体;SimSun" w:cs="宋体;SimSun"/>
                <w:bCs/>
                <w:sz w:val="22"/>
                <w:szCs w:val="22"/>
              </w:rPr>
              <w:t xml:space="preserve">        </w:t>
            </w:r>
            <w:r>
              <w:rPr>
                <w:rFonts w:hint="eastAsia" w:ascii="宋体;SimSun" w:hAnsi="宋体;SimSun" w:cs="Calibri"/>
                <w:bCs/>
                <w:sz w:val="22"/>
                <w:szCs w:val="22"/>
              </w:rPr>
              <w:t>能够支持多种外设，诸如：刷卡器、播报器等，得</w:t>
            </w:r>
            <w:r>
              <w:rPr>
                <w:rFonts w:hint="eastAsia" w:ascii="宋体;SimSun" w:hAnsi="宋体;SimSun" w:cs="宋体;SimSun"/>
                <w:bCs/>
                <w:sz w:val="22"/>
                <w:szCs w:val="22"/>
              </w:rPr>
              <w:t>2</w:t>
            </w:r>
            <w:r>
              <w:rPr>
                <w:rFonts w:hint="eastAsia" w:ascii="宋体;SimSun" w:hAnsi="宋体;SimSun" w:cs="Calibri"/>
                <w:bCs/>
                <w:sz w:val="22"/>
                <w:szCs w:val="22"/>
              </w:rPr>
              <w:t>分</w:t>
            </w:r>
          </w:p>
          <w:p>
            <w:pPr>
              <w:pStyle w:val="21"/>
              <w:spacing w:line="360" w:lineRule="exact"/>
              <w:ind w:left="880" w:hanging="880"/>
              <w:rPr>
                <w:sz w:val="22"/>
                <w:szCs w:val="22"/>
              </w:rPr>
            </w:pPr>
            <w:r>
              <w:rPr>
                <w:rFonts w:hint="eastAsia" w:ascii="宋体;SimSun" w:hAnsi="宋体;SimSun" w:cs="宋体;SimSun"/>
                <w:bCs/>
                <w:sz w:val="22"/>
                <w:szCs w:val="22"/>
              </w:rPr>
              <w:t xml:space="preserve">        后备电池安全可靠，不采用易燃易爆电池</w:t>
            </w:r>
            <w:r>
              <w:rPr>
                <w:rFonts w:hint="eastAsia" w:ascii="宋体;SimSun" w:hAnsi="宋体;SimSun" w:cs="Calibri"/>
                <w:bCs/>
                <w:sz w:val="22"/>
                <w:szCs w:val="22"/>
              </w:rPr>
              <w:t>，得</w:t>
            </w:r>
            <w:r>
              <w:rPr>
                <w:rFonts w:hint="eastAsia" w:ascii="宋体;SimSun" w:hAnsi="宋体;SimSun" w:cs="宋体;SimSun"/>
                <w:bCs/>
                <w:sz w:val="22"/>
                <w:szCs w:val="22"/>
              </w:rPr>
              <w:t>2</w:t>
            </w:r>
            <w:r>
              <w:rPr>
                <w:rFonts w:hint="eastAsia" w:ascii="宋体;SimSun" w:hAnsi="宋体;SimSun" w:cs="Calibri"/>
                <w:bCs/>
                <w:sz w:val="22"/>
                <w:szCs w:val="22"/>
              </w:rPr>
              <w:t>分</w:t>
            </w:r>
          </w:p>
        </w:tc>
      </w:tr>
    </w:tbl>
    <w:p>
      <w:pPr>
        <w:widowControl/>
        <w:jc w:val="left"/>
        <w:rPr>
          <w:rFonts w:ascii="宋体;SimSun" w:hAnsi="宋体;SimSun" w:eastAsia="宋体;SimSun" w:cs="宋体;SimSun"/>
          <w:bCs/>
          <w:kern w:val="0"/>
          <w:sz w:val="22"/>
        </w:rPr>
      </w:pPr>
    </w:p>
    <w:p>
      <w:pPr>
        <w:widowControl/>
        <w:jc w:val="left"/>
        <w:rPr>
          <w:rFonts w:ascii="宋体" w:hAnsi="宋体" w:cs="Calibri"/>
          <w:kern w:val="0"/>
          <w:sz w:val="22"/>
        </w:rPr>
      </w:pPr>
      <w:r>
        <w:rPr>
          <w:rFonts w:hAnsi="宋体" w:cs="Calibri"/>
          <w:b/>
          <w:sz w:val="22"/>
        </w:rPr>
        <w:t>3.4推荐中标候选人</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3.4.1当有效投标文件大于等于二名时，评标委员会</w:t>
      </w:r>
      <w:r>
        <w:rPr>
          <w:rFonts w:hint="eastAsia" w:hAnsi="宋体" w:cs="Calibri"/>
          <w:sz w:val="22"/>
          <w:szCs w:val="22"/>
        </w:rPr>
        <w:t>得分最高、次高的投标人为中标候选人（如果得分相同则按投标人报价从低到高顺序推荐为中标候选人，如果投标报价也相同，则抽签决定）。</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3.4.2当有效投标文件只有一名时，则由评标委员会确定是否推荐为中标候选人。</w:t>
      </w:r>
    </w:p>
    <w:p>
      <w:pPr>
        <w:pStyle w:val="21"/>
        <w:spacing w:line="360" w:lineRule="exact"/>
        <w:rPr>
          <w:rFonts w:hAnsi="宋体" w:cs="Calibri"/>
          <w:b/>
          <w:sz w:val="22"/>
          <w:szCs w:val="22"/>
        </w:rPr>
      </w:pPr>
      <w:r>
        <w:rPr>
          <w:rFonts w:hAnsi="宋体" w:cs="Calibri"/>
          <w:b/>
          <w:sz w:val="22"/>
          <w:szCs w:val="22"/>
        </w:rPr>
        <w:t>3.5评标报告</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21"/>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4.1招标人将确定评标委员会推荐的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4.2中标候选人因不可抗力之外的原因放弃中标权的，必须按文件规定没收其投标保证金，没收的投标保证金不能弥补由于其放弃中标权而给招标人造成报价的差额部分，由放弃中标权的中标候选人承担。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4.3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21"/>
        <w:adjustRightInd w:val="0"/>
        <w:snapToGrid w:val="0"/>
        <w:spacing w:line="360" w:lineRule="exact"/>
        <w:ind w:firstLine="442" w:firstLineChars="200"/>
        <w:rPr>
          <w:rFonts w:hAnsi="宋体" w:cs="Calibri"/>
          <w:b/>
          <w:sz w:val="22"/>
          <w:szCs w:val="22"/>
        </w:rPr>
      </w:pPr>
      <w:r>
        <w:rPr>
          <w:rFonts w:hAnsi="宋体" w:cs="Calibri"/>
          <w:b/>
          <w:sz w:val="22"/>
          <w:szCs w:val="22"/>
        </w:rPr>
        <w:t>4.4</w:t>
      </w:r>
      <w:r>
        <w:rPr>
          <w:rFonts w:hint="eastAsia" w:cs="Calibri" w:asciiTheme="minorEastAsia" w:hAnsiTheme="minorEastAsia" w:eastAsiaTheme="minorEastAsia"/>
          <w:b/>
          <w:color w:val="000000"/>
          <w:sz w:val="22"/>
          <w:szCs w:val="22"/>
        </w:rPr>
        <w:t>招标人对评标、定标结果不负责解释。</w:t>
      </w:r>
    </w:p>
    <w:bookmarkEnd w:id="116"/>
    <w:p>
      <w:pPr>
        <w:spacing w:line="360" w:lineRule="exact"/>
        <w:rPr>
          <w:rFonts w:ascii="宋体" w:hAnsi="宋体"/>
          <w:sz w:val="22"/>
        </w:rPr>
      </w:pPr>
    </w:p>
    <w:p>
      <w:pPr>
        <w:pStyle w:val="2"/>
        <w:spacing w:before="0" w:after="0" w:line="360" w:lineRule="auto"/>
        <w:jc w:val="center"/>
        <w:rPr>
          <w:rFonts w:ascii="Calibri" w:hAnsi="Calibri" w:eastAsia="黑体" w:cs="Calibri"/>
          <w:kern w:val="0"/>
          <w:sz w:val="32"/>
        </w:rPr>
      </w:pPr>
      <w:r>
        <w:br w:type="page"/>
      </w:r>
      <w:bookmarkStart w:id="119" w:name="_Toc448002988"/>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19"/>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一、</w:t>
      </w:r>
      <w:r>
        <w:rPr>
          <w:rFonts w:cs="Calibri" w:asciiTheme="minorEastAsia" w:hAnsiTheme="minorEastAsia" w:eastAsiaTheme="minorEastAsia"/>
          <w:color w:val="000000"/>
          <w:sz w:val="22"/>
        </w:rPr>
        <w:t>投标函；</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二、</w:t>
      </w:r>
      <w:r>
        <w:rPr>
          <w:rFonts w:cs="Calibri" w:asciiTheme="minorEastAsia" w:hAnsiTheme="minorEastAsia" w:eastAsiaTheme="minorEastAsia"/>
          <w:color w:val="000000"/>
          <w:sz w:val="22"/>
        </w:rPr>
        <w:t>投标报价表；</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三、</w:t>
      </w:r>
      <w:r>
        <w:rPr>
          <w:rFonts w:cs="Calibri" w:asciiTheme="minorEastAsia" w:hAnsiTheme="minorEastAsia" w:eastAsiaTheme="minorEastAsia"/>
          <w:color w:val="000000"/>
          <w:sz w:val="22"/>
        </w:rPr>
        <w:t>法定代表人资格证明书；</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四、</w:t>
      </w:r>
      <w:r>
        <w:rPr>
          <w:rFonts w:cs="Calibri" w:asciiTheme="minorEastAsia" w:hAnsiTheme="minorEastAsia" w:eastAsiaTheme="minorEastAsia"/>
          <w:color w:val="000000"/>
          <w:sz w:val="22"/>
        </w:rPr>
        <w:t>授权委托书；</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五、</w:t>
      </w:r>
      <w:r>
        <w:rPr>
          <w:rFonts w:cs="Calibri" w:asciiTheme="minorEastAsia" w:hAnsiTheme="minorEastAsia" w:eastAsiaTheme="minorEastAsia"/>
          <w:color w:val="000000"/>
          <w:sz w:val="22"/>
        </w:rPr>
        <w:t>投标人资格证明文件：</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（1）投标人一般情况</w:t>
      </w:r>
      <w:r>
        <w:rPr>
          <w:rFonts w:hint="eastAsia" w:cs="Calibri" w:asciiTheme="minorEastAsia" w:hAnsiTheme="minorEastAsia" w:eastAsiaTheme="minorEastAsia"/>
          <w:color w:val="000000"/>
          <w:sz w:val="22"/>
        </w:rPr>
        <w:t>及</w:t>
      </w:r>
      <w:r>
        <w:rPr>
          <w:rFonts w:cs="Calibri" w:asciiTheme="minorEastAsia" w:hAnsiTheme="minorEastAsia" w:eastAsiaTheme="minorEastAsia"/>
          <w:color w:val="000000"/>
          <w:sz w:val="22"/>
        </w:rPr>
        <w:t>有关证明投标人法律地位的文件（包括营业执照</w:t>
      </w:r>
      <w:r>
        <w:rPr>
          <w:rFonts w:hint="eastAsia" w:cs="Calibri" w:asciiTheme="minorEastAsia" w:hAnsiTheme="minorEastAsia" w:eastAsiaTheme="minorEastAsia"/>
          <w:color w:val="000000"/>
          <w:sz w:val="22"/>
        </w:rPr>
        <w:t>、</w:t>
      </w:r>
      <w:r>
        <w:rPr>
          <w:rFonts w:hint="eastAsia" w:ascii="宋体" w:hAnsi="宋体" w:cs="Calibri"/>
          <w:sz w:val="22"/>
        </w:rPr>
        <w:t>税务登记证、</w:t>
      </w:r>
      <w:r>
        <w:rPr>
          <w:rFonts w:cs="Calibri" w:asciiTheme="minorEastAsia" w:hAnsiTheme="minorEastAsia" w:eastAsiaTheme="minorEastAsia"/>
          <w:color w:val="000000"/>
          <w:sz w:val="22"/>
        </w:rPr>
        <w:t>资质</w:t>
      </w:r>
      <w:r>
        <w:rPr>
          <w:rFonts w:hint="eastAsia" w:cs="Calibri" w:asciiTheme="minorEastAsia" w:hAnsiTheme="minorEastAsia" w:eastAsiaTheme="minorEastAsia"/>
          <w:color w:val="000000"/>
          <w:sz w:val="22"/>
        </w:rPr>
        <w:t>证书</w:t>
      </w:r>
      <w:r>
        <w:rPr>
          <w:rFonts w:cs="Calibri" w:asciiTheme="minorEastAsia" w:hAnsiTheme="minorEastAsia" w:eastAsiaTheme="minorEastAsia"/>
          <w:color w:val="000000"/>
          <w:sz w:val="22"/>
        </w:rPr>
        <w:t>等），说明投标人的注册地点和主要经营范围；</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（2）信用中国网站www.creditchina.gov.cn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（2）有关证明投标人的企业信誉及获得各种奖励等资料；</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（3）投标人经济实力：包括企业注册资金、财务报告与报表中反映的财务状况</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近三年</w:t>
      </w:r>
      <w:r>
        <w:rPr>
          <w:rFonts w:hint="eastAsia" w:cs="Calibri" w:asciiTheme="minorEastAsia" w:hAnsiTheme="minorEastAsia" w:eastAsiaTheme="minorEastAsia"/>
          <w:color w:val="000000"/>
          <w:sz w:val="22"/>
        </w:rPr>
        <w:t>（合同签订时间或部分服务期在2016年1月1日至投标截止日之内）</w:t>
      </w:r>
      <w:r>
        <w:rPr>
          <w:rFonts w:cs="Calibri" w:asciiTheme="minorEastAsia" w:hAnsiTheme="minorEastAsia" w:eastAsiaTheme="minorEastAsia"/>
          <w:color w:val="000000"/>
          <w:sz w:val="22"/>
        </w:rPr>
        <w:t>完成类似项目业绩情况</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（5）招标文件投标人资格要求中提供的相关材料。</w:t>
      </w:r>
    </w:p>
    <w:p>
      <w:pPr>
        <w:adjustRightInd w:val="0"/>
        <w:snapToGrid w:val="0"/>
        <w:spacing w:line="400" w:lineRule="exact"/>
        <w:ind w:firstLine="440" w:firstLineChars="200"/>
        <w:rPr>
          <w:rFonts w:ascii="宋体" w:hAnsi="宋体" w:cs="Calibri"/>
          <w:color w:val="000000"/>
          <w:sz w:val="22"/>
        </w:rPr>
      </w:pPr>
      <w:r>
        <w:rPr>
          <w:rFonts w:hint="eastAsia" w:cs="Calibri" w:asciiTheme="minorEastAsia" w:hAnsiTheme="minorEastAsia" w:eastAsiaTheme="minorEastAsia"/>
          <w:color w:val="000000"/>
          <w:sz w:val="22"/>
        </w:rPr>
        <w:t>六、</w:t>
      </w:r>
      <w:r>
        <w:rPr>
          <w:rFonts w:ascii="宋体" w:hAnsi="宋体" w:cs="Calibri"/>
          <w:color w:val="000000"/>
          <w:sz w:val="22"/>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w:t>
      </w:r>
      <w:r>
        <w:rPr>
          <w:rFonts w:hint="eastAsia" w:cs="Calibri" w:asciiTheme="minorEastAsia" w:hAnsiTheme="minorEastAsia" w:eastAsiaTheme="minorEastAsia"/>
          <w:color w:val="000000"/>
          <w:sz w:val="22"/>
        </w:rPr>
        <w:t>现场机构、人力、物资设备配置</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（4）服务人员的作业安排和进场计划；</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w:t>
      </w:r>
      <w:r>
        <w:rPr>
          <w:rFonts w:hint="eastAsia" w:cs="Calibri" w:asciiTheme="minorEastAsia" w:hAnsiTheme="minorEastAsia" w:eastAsiaTheme="minorEastAsia"/>
          <w:color w:val="000000"/>
          <w:sz w:val="22"/>
        </w:rPr>
        <w:t>运行、安全、服务等相关管理方案</w:t>
      </w:r>
      <w:r>
        <w:rPr>
          <w:rFonts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（6）对本项目的实施意见及重点</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难点控制；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（7）对特殊情况的承诺以及灾害性、突发事件的应急预案；</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w:t>
      </w:r>
      <w:r>
        <w:rPr>
          <w:rFonts w:hint="eastAsia" w:cs="Calibri" w:asciiTheme="minorEastAsia" w:hAnsiTheme="minorEastAsia" w:eastAsiaTheme="minorEastAsia"/>
          <w:color w:val="000000"/>
          <w:sz w:val="22"/>
        </w:rPr>
        <w:t>8</w:t>
      </w:r>
      <w:r>
        <w:rPr>
          <w:rFonts w:cs="Calibri" w:asciiTheme="minorEastAsia" w:hAnsiTheme="minorEastAsia" w:eastAsiaTheme="minorEastAsia"/>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）投入本项目服务的仪器、仪表、设备及交通工具汇总表</w:t>
      </w:r>
      <w:r>
        <w:rPr>
          <w:rFonts w:hint="eastAsia" w:cs="Calibri" w:asciiTheme="minorEastAsia" w:hAnsiTheme="minorEastAsia" w:eastAsiaTheme="minorEastAsia"/>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cs="Calibri" w:asciiTheme="minorEastAsia" w:hAnsiTheme="minorEastAsia" w:eastAsiaTheme="minorEastAsia"/>
          <w:color w:val="000000"/>
          <w:sz w:val="22"/>
        </w:rPr>
        <w:t>七、</w:t>
      </w:r>
      <w:r>
        <w:rPr>
          <w:rFonts w:hint="eastAsia" w:cs="Arial" w:asciiTheme="minorEastAsia" w:hAnsiTheme="minorEastAsia" w:eastAsiaTheme="minorEastAsia"/>
          <w:color w:val="000000"/>
          <w:sz w:val="22"/>
        </w:rPr>
        <w:t>投标人认为</w:t>
      </w:r>
      <w:r>
        <w:rPr>
          <w:rFonts w:cs="Arial" w:asciiTheme="minorEastAsia" w:hAnsiTheme="minorEastAsia" w:eastAsiaTheme="minorEastAsia"/>
          <w:color w:val="000000"/>
          <w:sz w:val="22"/>
        </w:rPr>
        <w:t>应该提供的其他材料</w:t>
      </w:r>
      <w:r>
        <w:rPr>
          <w:rFonts w:hint="eastAsia" w:cs="Arial" w:asciiTheme="minorEastAsia" w:hAnsiTheme="minorEastAsia" w:eastAsiaTheme="minorEastAsia"/>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20" w:name="_Toc171421958"/>
      <w:r>
        <w:rPr>
          <w:rFonts w:cs="Calibri"/>
          <w:color w:val="000000"/>
        </w:rPr>
        <w:t>封面</w:t>
      </w:r>
      <w:bookmarkEnd w:id="120"/>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eastAsia="黑体" w:cs="Calibri"/>
          <w:b/>
          <w:sz w:val="44"/>
          <w:szCs w:val="44"/>
        </w:rPr>
        <w:t>项目</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480" w:beforeLines="200" w:after="48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spacing w:line="360" w:lineRule="auto"/>
        <w:jc w:val="center"/>
        <w:rPr>
          <w:rFonts w:eastAsia="黑体" w:cs="Calibri"/>
          <w:bCs/>
          <w:color w:val="000000"/>
          <w:sz w:val="32"/>
          <w:szCs w:val="32"/>
        </w:rPr>
      </w:pPr>
      <w:r>
        <w:rPr>
          <w:rFonts w:cs="Calibri"/>
          <w:color w:val="000000"/>
          <w:sz w:val="24"/>
        </w:rPr>
        <w:br w:type="page"/>
      </w:r>
      <w:r>
        <w:rPr>
          <w:rFonts w:eastAsia="黑体" w:cs="Calibri"/>
          <w:bCs/>
          <w:color w:val="000000"/>
          <w:sz w:val="32"/>
          <w:szCs w:val="32"/>
        </w:rPr>
        <w:t>一、投 标 函</w:t>
      </w:r>
    </w:p>
    <w:p>
      <w:pPr>
        <w:spacing w:line="440" w:lineRule="exact"/>
        <w:jc w:val="center"/>
        <w:rPr>
          <w:rFonts w:cs="Calibri"/>
          <w:b/>
          <w:bCs/>
          <w:color w:val="000000"/>
          <w:sz w:val="28"/>
          <w:szCs w:val="28"/>
        </w:rPr>
      </w:pPr>
    </w:p>
    <w:p>
      <w:pPr>
        <w:snapToGrid w:val="0"/>
        <w:spacing w:line="360" w:lineRule="auto"/>
        <w:rPr>
          <w:rFonts w:cs="Calibri" w:asciiTheme="minorEastAsia" w:hAnsiTheme="minorEastAsia" w:eastAsiaTheme="minorEastAsia"/>
          <w:b/>
          <w:bCs/>
          <w:sz w:val="24"/>
          <w:szCs w:val="24"/>
        </w:rPr>
      </w:pPr>
      <w:r>
        <w:rPr>
          <w:rFonts w:hint="eastAsia" w:ascii="宋体" w:hAnsi="宋体"/>
          <w:sz w:val="24"/>
          <w:szCs w:val="24"/>
        </w:rPr>
        <w:t>致：杭州萧山国际机场有限公司</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1、根据已收到的</w:t>
      </w:r>
      <w:r>
        <w:rPr>
          <w:rFonts w:hint="eastAsia" w:cs="Calibri" w:asciiTheme="minorEastAsia" w:hAnsiTheme="minorEastAsia" w:eastAsiaTheme="minorEastAsia"/>
          <w:sz w:val="24"/>
          <w:u w:val="single"/>
        </w:rPr>
        <w:t xml:space="preserve">                           </w:t>
      </w:r>
      <w:r>
        <w:rPr>
          <w:rFonts w:hint="eastAsia" w:cs="Calibri" w:asciiTheme="minorEastAsia" w:hAnsiTheme="minorEastAsia" w:eastAsiaTheme="minorEastAsia"/>
          <w:sz w:val="24"/>
        </w:rPr>
        <w:t>招标文件，遵照《中华人民共和国招标投标法》等有关规定，经考察现场和研究上述招标文件后，我方愿以投标总价为人民币 (大写)：</w:t>
      </w:r>
      <w:r>
        <w:rPr>
          <w:rFonts w:hint="eastAsia" w:cs="Calibri" w:asciiTheme="minorEastAsia" w:hAnsiTheme="minorEastAsia" w:eastAsiaTheme="minorEastAsia"/>
          <w:sz w:val="24"/>
          <w:u w:val="single"/>
        </w:rPr>
        <w:t xml:space="preserve">               </w:t>
      </w:r>
      <w:r>
        <w:rPr>
          <w:rFonts w:hint="eastAsia" w:cs="Calibri" w:asciiTheme="minorEastAsia" w:hAnsiTheme="minorEastAsia" w:eastAsiaTheme="minorEastAsia"/>
          <w:sz w:val="24"/>
        </w:rPr>
        <w:t>元（RMB</w:t>
      </w:r>
      <w:r>
        <w:rPr>
          <w:rFonts w:hint="eastAsia" w:cs="Calibri" w:asciiTheme="minorEastAsia" w:hAnsiTheme="minorEastAsia" w:eastAsiaTheme="minorEastAsia"/>
          <w:sz w:val="24"/>
          <w:u w:val="single"/>
        </w:rPr>
        <w:t xml:space="preserve">         </w:t>
      </w:r>
      <w:r>
        <w:rPr>
          <w:rFonts w:hint="eastAsia" w:cs="Calibri" w:asciiTheme="minorEastAsia" w:hAnsiTheme="minorEastAsia" w:eastAsiaTheme="minorEastAsia"/>
          <w:sz w:val="24"/>
        </w:rPr>
        <w:t>元）报价并按上述招标文件要求承揽上述项目</w:t>
      </w:r>
      <w:r>
        <w:rPr>
          <w:rFonts w:hint="eastAsia" w:cs="Calibri" w:asciiTheme="minorEastAsia" w:hAnsiTheme="minorEastAsia" w:eastAsiaTheme="minorEastAsia"/>
          <w:bCs/>
          <w:sz w:val="24"/>
        </w:rPr>
        <w:t>所有等工作</w:t>
      </w:r>
      <w:r>
        <w:rPr>
          <w:rFonts w:hint="eastAsia" w:cs="Calibri" w:asciiTheme="minorEastAsia" w:hAnsiTheme="minorEastAsia" w:eastAsiaTheme="minorEastAsia"/>
          <w:sz w:val="24"/>
          <w:szCs w:val="21"/>
        </w:rPr>
        <w:t>。</w:t>
      </w:r>
      <w:r>
        <w:rPr>
          <w:rFonts w:hint="eastAsia" w:cs="Calibri" w:asciiTheme="minorEastAsia" w:hAnsiTheme="minorEastAsia" w:eastAsiaTheme="minorEastAsia"/>
          <w:sz w:val="24"/>
        </w:rPr>
        <w:t xml:space="preserve"> </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2. 我方承诺：</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（1）我方不是失信被执行人；</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（2）我方在规定期限内无行贿犯罪记录；</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（3）我方具有一般纳税人资格，可提供增值税专用发票；</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（4）我方注册资金符合本项目招标文件资格条件要求。</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3．如我方中标，我方承诺：</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(1)在收到中标通知书后，在中标通知书规定的期限内与你方签订合同；</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(2)在签订合同时不向你方提出附加条件；</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(3)按照招标文件要求提交履约保证金；</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(4)在合同约定的期限内完成合同规定的全部义务。</w:t>
      </w:r>
    </w:p>
    <w:p>
      <w:pPr>
        <w:snapToGrid w:val="0"/>
        <w:spacing w:line="360" w:lineRule="auto"/>
        <w:rPr>
          <w:rFonts w:cs="Calibri" w:asciiTheme="minorEastAsia" w:hAnsiTheme="minorEastAsia" w:eastAsiaTheme="minorEastAsia"/>
          <w:sz w:val="24"/>
          <w:szCs w:val="20"/>
        </w:rPr>
      </w:pPr>
      <w:r>
        <w:rPr>
          <w:rFonts w:hint="eastAsia" w:cs="Calibri" w:asciiTheme="minorEastAsia" w:hAnsiTheme="minorEastAsia" w:eastAsiaTheme="minorEastAsia"/>
          <w:sz w:val="24"/>
        </w:rPr>
        <w:t>　　 4、我方同意所递交的投标文件在“前附表”规定的投标有效期内有效，在此期间内我方的投标有可能中标，我方将受此约束。</w:t>
      </w:r>
    </w:p>
    <w:p>
      <w:pPr>
        <w:snapToGrid w:val="0"/>
        <w:spacing w:line="360" w:lineRule="auto"/>
        <w:rPr>
          <w:rFonts w:cs="Calibri" w:asciiTheme="minorEastAsia" w:hAnsiTheme="minorEastAsia" w:eastAsiaTheme="minorEastAsia"/>
          <w:sz w:val="24"/>
          <w:szCs w:val="20"/>
        </w:rPr>
      </w:pPr>
      <w:r>
        <w:rPr>
          <w:rFonts w:hint="eastAsia" w:cs="Calibri" w:asciiTheme="minorEastAsia" w:hAnsiTheme="minorEastAsia" w:eastAsiaTheme="minorEastAsia"/>
          <w:sz w:val="24"/>
        </w:rPr>
        <w:t xml:space="preserve">     5、除非另外达成协议并生效，你方的中标通知书和本投标文件将构成约束我们双方的合同。</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6、我方已详细审查招标文件包括澄清函和修改文件(若有)、所有已提供的资料以及有关附件，我司已完全理解上述文件的全部内容，并放弃提出任何误解或不明作为抗辩的权利。</w:t>
      </w:r>
    </w:p>
    <w:p>
      <w:pPr>
        <w:snapToGrid w:val="0"/>
        <w:spacing w:line="360" w:lineRule="auto"/>
        <w:ind w:firstLine="600" w:firstLineChars="250"/>
        <w:rPr>
          <w:rFonts w:cs="Calibri" w:asciiTheme="minorEastAsia" w:hAnsiTheme="minorEastAsia" w:eastAsiaTheme="minorEastAsia"/>
          <w:sz w:val="24"/>
        </w:rPr>
      </w:pPr>
      <w:r>
        <w:rPr>
          <w:rFonts w:hint="eastAsia" w:cs="Calibri" w:asciiTheme="minorEastAsia" w:hAnsiTheme="minorEastAsia" w:eastAsiaTheme="minorEastAsia"/>
          <w:sz w:val="24"/>
        </w:rPr>
        <w:t>7、我方同意按照你方可能提出的要求，提供有关的任何其它数字或资料，并对贵方可能不接受最低报价及任何报价表示理解。</w:t>
      </w:r>
    </w:p>
    <w:p>
      <w:pPr>
        <w:snapToGrid w:val="0"/>
        <w:spacing w:line="440" w:lineRule="exact"/>
        <w:rPr>
          <w:rFonts w:cs="Calibri" w:asciiTheme="minorEastAsia" w:hAnsiTheme="minorEastAsia" w:eastAsiaTheme="minorEastAsia"/>
          <w:color w:val="000000"/>
          <w:szCs w:val="21"/>
        </w:rPr>
      </w:pPr>
    </w:p>
    <w:p>
      <w:pPr>
        <w:snapToGrid w:val="0"/>
        <w:spacing w:line="440" w:lineRule="exact"/>
        <w:rPr>
          <w:rFonts w:cs="Calibri" w:asciiTheme="minorEastAsia" w:hAnsiTheme="minorEastAsia" w:eastAsiaTheme="minorEastAsia"/>
          <w:color w:val="000000"/>
          <w:szCs w:val="21"/>
        </w:rPr>
      </w:pPr>
    </w:p>
    <w:p>
      <w:pPr>
        <w:snapToGrid w:val="0"/>
        <w:spacing w:line="440" w:lineRule="exact"/>
        <w:rPr>
          <w:rFonts w:cs="Calibri" w:asciiTheme="minorEastAsia" w:hAnsiTheme="minorEastAsia" w:eastAsiaTheme="minorEastAsia"/>
          <w:color w:val="000000"/>
          <w:szCs w:val="21"/>
        </w:rPr>
      </w:pP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投标人：（盖单位章）</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法定代表人或其委托代理人：（签字或盖章）</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地    址：</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邮政编码：</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电    话：</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传    真：</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开户银行：</w:t>
      </w:r>
    </w:p>
    <w:p>
      <w:pPr>
        <w:snapToGrid w:val="0"/>
        <w:spacing w:line="440" w:lineRule="exact"/>
        <w:ind w:firstLine="3600" w:firstLineChars="1500"/>
        <w:rPr>
          <w:rFonts w:cs="Calibri" w:asciiTheme="minorEastAsia" w:hAnsiTheme="minorEastAsia" w:eastAsiaTheme="minorEastAsia"/>
          <w:color w:val="000000"/>
          <w:sz w:val="24"/>
        </w:rPr>
      </w:pPr>
      <w:r>
        <w:rPr>
          <w:rFonts w:cs="Calibri" w:asciiTheme="minorEastAsia" w:hAnsiTheme="minorEastAsia" w:eastAsiaTheme="minorEastAsia"/>
          <w:color w:val="000000"/>
          <w:sz w:val="24"/>
        </w:rPr>
        <w:t>账    号：</w:t>
      </w:r>
    </w:p>
    <w:p>
      <w:pPr>
        <w:snapToGrid w:val="0"/>
        <w:spacing w:line="440" w:lineRule="exact"/>
        <w:ind w:firstLine="3600" w:firstLineChars="1500"/>
        <w:rPr>
          <w:rFonts w:eastAsia="黑体" w:cs="Calibri"/>
          <w:color w:val="000000"/>
          <w:sz w:val="32"/>
          <w:szCs w:val="32"/>
        </w:rPr>
      </w:pPr>
      <w:r>
        <w:rPr>
          <w:rFonts w:cs="Calibri" w:asciiTheme="minorEastAsia" w:hAnsiTheme="minorEastAsia" w:eastAsiaTheme="minorEastAsia"/>
          <w:color w:val="000000"/>
          <w:sz w:val="24"/>
        </w:rPr>
        <w:t>日    期：    年     月     日</w:t>
      </w:r>
      <w:r>
        <w:rPr>
          <w:rFonts w:eastAsia="黑体" w:cs="Calibri"/>
          <w:color w:val="000000"/>
          <w:sz w:val="32"/>
          <w:szCs w:val="32"/>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sz w:val="24"/>
        </w:rPr>
      </w:pPr>
    </w:p>
    <w:p>
      <w:pPr>
        <w:spacing w:after="120"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120"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w:pict>
          <v:shape id="Text Box 6" o:spid="_x0000_s1026" o:spt="202" type="#_x0000_t202" style="position:absolute;left:0pt;margin-left:0pt;margin-top:31.2pt;height:171.6pt;width:423pt;mso-wrap-distance-bottom:0pt;mso-wrap-distance-left:9pt;mso-wrap-distance-right:9pt;mso-wrap-distance-top:0pt;z-index:251659264;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w:pict>
          <v:shape id="Text Box 7" o:spid="_x0000_s1027" o:spt="202" type="#_x0000_t202" style="position:absolute;left:0pt;margin-left:9.15pt;margin-top:20.8pt;height:171.6pt;width:423pt;mso-wrap-distance-bottom:0pt;mso-wrap-distance-left:9pt;mso-wrap-distance-right:9pt;mso-wrap-distance-top:0pt;z-index:251660288;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rPr>
        <w:t>四</w:t>
      </w:r>
      <w:r>
        <w:rPr>
          <w:rFonts w:eastAsia="黑体" w:cs="Calibri"/>
          <w:color w:val="000000"/>
          <w:sz w:val="32"/>
          <w:szCs w:val="32"/>
        </w:rPr>
        <w:t>、投标报价表</w:t>
      </w:r>
    </w:p>
    <w:p>
      <w:pPr>
        <w:rPr>
          <w:rFonts w:cs="Calibri"/>
          <w:sz w:val="24"/>
        </w:rPr>
      </w:pPr>
    </w:p>
    <w:p>
      <w:pPr>
        <w:jc w:val="right"/>
        <w:rPr>
          <w:rFonts w:cs="Calibri"/>
          <w:bCs/>
          <w:sz w:val="24"/>
        </w:rPr>
      </w:pPr>
    </w:p>
    <w:p>
      <w:pPr>
        <w:spacing w:line="360" w:lineRule="auto"/>
        <w:ind w:right="210"/>
        <w:jc w:val="right"/>
        <w:rPr>
          <w:rFonts w:hint="eastAsia" w:ascii="宋体;SimSun" w:hAnsi="宋体;SimSun" w:cs="宋体;SimSun"/>
          <w:sz w:val="22"/>
        </w:rPr>
      </w:pPr>
      <w:r>
        <w:rPr>
          <w:rFonts w:ascii="宋体;SimSun" w:hAnsi="宋体;SimSun" w:cs="宋体;SimSun"/>
          <w:sz w:val="22"/>
        </w:rPr>
        <w:t>[货币单位：人民币元]</w:t>
      </w:r>
    </w:p>
    <w:p>
      <w:pPr>
        <w:spacing w:line="360" w:lineRule="auto"/>
        <w:ind w:right="210"/>
        <w:jc w:val="right"/>
        <w:rPr>
          <w:rFonts w:hint="eastAsia" w:ascii="宋体;SimSun" w:hAnsi="宋体;SimSun" w:cs="宋体;SimSun"/>
          <w:sz w:val="22"/>
        </w:rPr>
      </w:pPr>
    </w:p>
    <w:tbl>
      <w:tblPr>
        <w:tblStyle w:val="53"/>
        <w:tblW w:w="10014" w:type="dxa"/>
        <w:jc w:val="center"/>
        <w:tblInd w:w="0" w:type="dxa"/>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
      <w:tblGrid>
        <w:gridCol w:w="665"/>
        <w:gridCol w:w="2228"/>
        <w:gridCol w:w="2332"/>
        <w:gridCol w:w="2332"/>
        <w:gridCol w:w="2457"/>
      </w:tblGrid>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1020" w:hRule="atLeast"/>
          <w:jc w:val="center"/>
        </w:trPr>
        <w:tc>
          <w:tcPr>
            <w:tcW w:w="665" w:type="dxa"/>
            <w:tcBorders>
              <w:top w:val="single" w:color="000000" w:sz="4" w:space="0"/>
              <w:left w:val="single" w:color="000000" w:sz="4" w:space="0"/>
              <w:bottom w:val="single" w:color="000000" w:sz="4" w:space="0"/>
            </w:tcBorders>
            <w:shd w:val="clear" w:color="auto" w:fill="auto"/>
            <w:vAlign w:val="center"/>
          </w:tcPr>
          <w:p>
            <w:pPr>
              <w:jc w:val="center"/>
              <w:rPr>
                <w:rFonts w:ascii="Times New Roman" w:hAnsi="Times New Roman"/>
                <w:b/>
                <w:szCs w:val="21"/>
              </w:rPr>
            </w:pPr>
            <w:r>
              <w:rPr>
                <w:rFonts w:ascii="Times New Roman" w:hAnsi="Times New Roman"/>
                <w:b/>
                <w:szCs w:val="21"/>
              </w:rPr>
              <w:t>序号</w:t>
            </w:r>
          </w:p>
        </w:tc>
        <w:tc>
          <w:tcPr>
            <w:tcW w:w="2228" w:type="dxa"/>
            <w:tcBorders>
              <w:top w:val="single" w:color="000000" w:sz="4" w:space="0"/>
              <w:left w:val="single" w:color="000000" w:sz="4" w:space="0"/>
              <w:bottom w:val="single" w:color="000000" w:sz="4" w:space="0"/>
            </w:tcBorders>
            <w:shd w:val="clear" w:color="auto" w:fill="auto"/>
            <w:vAlign w:val="center"/>
          </w:tcPr>
          <w:p>
            <w:pPr>
              <w:jc w:val="center"/>
              <w:rPr>
                <w:rFonts w:ascii="Times New Roman" w:hAnsi="Times New Roman"/>
                <w:b/>
                <w:szCs w:val="21"/>
              </w:rPr>
            </w:pPr>
            <w:r>
              <w:rPr>
                <w:rFonts w:ascii="Times New Roman" w:hAnsi="Times New Roman"/>
                <w:b/>
                <w:szCs w:val="21"/>
              </w:rPr>
              <w:t>项目内容</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b/>
                <w:szCs w:val="21"/>
              </w:rPr>
            </w:pPr>
            <w:r>
              <w:rPr>
                <w:rFonts w:ascii="Times New Roman" w:hAnsi="Times New Roman"/>
                <w:b/>
                <w:szCs w:val="21"/>
              </w:rPr>
              <w:t>报价（</w:t>
            </w:r>
            <w:r>
              <w:rPr>
                <w:rFonts w:hint="eastAsia" w:ascii="Times New Roman" w:hAnsi="Times New Roman"/>
                <w:b/>
                <w:szCs w:val="21"/>
              </w:rPr>
              <w:t>单价：</w:t>
            </w:r>
            <w:r>
              <w:rPr>
                <w:rFonts w:ascii="Times New Roman" w:hAnsi="Times New Roman"/>
                <w:b/>
                <w:szCs w:val="21"/>
              </w:rPr>
              <w:t>元</w:t>
            </w:r>
            <w:r>
              <w:rPr>
                <w:rFonts w:hint="eastAsia" w:ascii="Times New Roman" w:hAnsi="Times New Roman"/>
                <w:b/>
                <w:szCs w:val="21"/>
              </w:rPr>
              <w:t>/月</w:t>
            </w:r>
            <w:r>
              <w:rPr>
                <w:rFonts w:hint="eastAsia" w:ascii="宋体" w:hAnsi="宋体" w:cs="宋体"/>
                <w:b/>
                <w:szCs w:val="21"/>
              </w:rPr>
              <w:t>·车</w:t>
            </w:r>
            <w:r>
              <w:rPr>
                <w:rFonts w:ascii="Times New Roman" w:hAnsi="Times New Roman"/>
                <w:b/>
                <w:szCs w:val="21"/>
              </w:rPr>
              <w:t>）</w:t>
            </w:r>
          </w:p>
        </w:tc>
        <w:tc>
          <w:tcPr>
            <w:tcW w:w="2332"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b/>
                <w:szCs w:val="21"/>
              </w:rPr>
            </w:pPr>
            <w:r>
              <w:rPr>
                <w:rFonts w:hint="eastAsia" w:ascii="Times New Roman" w:hAnsi="Times New Roman"/>
                <w:b/>
                <w:szCs w:val="21"/>
              </w:rPr>
              <w:t>预估量（辆）</w:t>
            </w:r>
          </w:p>
        </w:tc>
        <w:tc>
          <w:tcPr>
            <w:tcW w:w="2457"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b/>
                <w:szCs w:val="21"/>
              </w:rPr>
            </w:pPr>
            <w:r>
              <w:rPr>
                <w:rFonts w:hint="eastAsia" w:ascii="Times New Roman" w:hAnsi="Times New Roman"/>
                <w:b/>
                <w:szCs w:val="21"/>
              </w:rPr>
              <w:t>合价</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PrEx>
        <w:trPr>
          <w:trHeight w:val="1271" w:hRule="atLeast"/>
          <w:jc w:val="center"/>
        </w:trPr>
        <w:tc>
          <w:tcPr>
            <w:tcW w:w="665" w:type="dxa"/>
            <w:tcBorders>
              <w:top w:val="single" w:color="000000" w:sz="4" w:space="0"/>
              <w:left w:val="single" w:color="000000" w:sz="4" w:space="0"/>
              <w:bottom w:val="single" w:color="000000" w:sz="4" w:space="0"/>
            </w:tcBorders>
            <w:shd w:val="clear" w:color="auto" w:fill="auto"/>
            <w:vAlign w:val="center"/>
          </w:tcPr>
          <w:p>
            <w:pPr>
              <w:jc w:val="center"/>
              <w:rPr>
                <w:rFonts w:ascii="Times New Roman" w:hAnsi="Times New Roman"/>
                <w:szCs w:val="21"/>
              </w:rPr>
            </w:pPr>
            <w:r>
              <w:rPr>
                <w:rFonts w:ascii="Times New Roman" w:hAnsi="Times New Roman"/>
                <w:szCs w:val="21"/>
              </w:rPr>
              <w:t>1</w:t>
            </w:r>
          </w:p>
        </w:tc>
        <w:tc>
          <w:tcPr>
            <w:tcW w:w="2228" w:type="dxa"/>
            <w:tcBorders>
              <w:top w:val="single" w:color="000000" w:sz="4" w:space="0"/>
              <w:left w:val="single" w:color="000000" w:sz="4" w:space="0"/>
              <w:bottom w:val="single" w:color="000000" w:sz="4" w:space="0"/>
            </w:tcBorders>
            <w:shd w:val="clear" w:color="auto" w:fill="auto"/>
            <w:vAlign w:val="center"/>
          </w:tcPr>
          <w:p>
            <w:pPr>
              <w:jc w:val="center"/>
              <w:rPr>
                <w:rFonts w:ascii="Times New Roman" w:hAnsi="Times New Roman"/>
                <w:szCs w:val="21"/>
              </w:rPr>
            </w:pPr>
            <w:r>
              <w:rPr>
                <w:rFonts w:ascii="Times New Roman" w:hAnsi="Times New Roman"/>
                <w:szCs w:val="21"/>
              </w:rPr>
              <w:t>车辆</w:t>
            </w:r>
            <w:r>
              <w:rPr>
                <w:rFonts w:hint="eastAsia" w:ascii="Times New Roman" w:hAnsi="Times New Roman"/>
                <w:szCs w:val="21"/>
              </w:rPr>
              <w:t>车载GPS设备使用</w:t>
            </w:r>
            <w:r>
              <w:rPr>
                <w:rFonts w:ascii="Times New Roman" w:hAnsi="Times New Roman"/>
                <w:szCs w:val="21"/>
              </w:rPr>
              <w:t>费</w:t>
            </w: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szCs w:val="21"/>
              </w:rPr>
            </w:pPr>
          </w:p>
        </w:tc>
        <w:tc>
          <w:tcPr>
            <w:tcW w:w="233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szCs w:val="21"/>
              </w:rPr>
            </w:pPr>
            <w:r>
              <w:rPr>
                <w:rFonts w:hint="eastAsia" w:ascii="Times New Roman" w:hAnsi="Times New Roman"/>
                <w:szCs w:val="21"/>
              </w:rPr>
              <w:t>100</w:t>
            </w:r>
          </w:p>
        </w:tc>
        <w:tc>
          <w:tcPr>
            <w:tcW w:w="245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1143" w:hRule="atLeast"/>
          <w:jc w:val="center"/>
        </w:trPr>
        <w:tc>
          <w:tcPr>
            <w:tcW w:w="665" w:type="dxa"/>
            <w:tcBorders>
              <w:top w:val="single" w:color="000000" w:sz="4" w:space="0"/>
              <w:left w:val="single" w:color="000000" w:sz="4" w:space="0"/>
              <w:bottom w:val="single" w:color="000000" w:sz="4" w:space="0"/>
            </w:tcBorders>
            <w:shd w:val="clear" w:color="auto" w:fill="auto"/>
            <w:vAlign w:val="center"/>
          </w:tcPr>
          <w:p>
            <w:pPr>
              <w:jc w:val="center"/>
              <w:rPr>
                <w:rFonts w:ascii="Times New Roman" w:hAnsi="Times New Roman"/>
                <w:szCs w:val="21"/>
              </w:rPr>
            </w:pPr>
            <w:r>
              <w:rPr>
                <w:rFonts w:ascii="Times New Roman" w:hAnsi="Times New Roman"/>
                <w:szCs w:val="21"/>
              </w:rPr>
              <w:t>2</w:t>
            </w:r>
          </w:p>
        </w:tc>
        <w:tc>
          <w:tcPr>
            <w:tcW w:w="2228" w:type="dxa"/>
            <w:tcBorders>
              <w:top w:val="single" w:color="000000" w:sz="4" w:space="0"/>
              <w:left w:val="single" w:color="000000" w:sz="4" w:space="0"/>
              <w:bottom w:val="single" w:color="000000" w:sz="4" w:space="0"/>
            </w:tcBorders>
            <w:shd w:val="clear" w:color="auto" w:fill="auto"/>
            <w:vAlign w:val="center"/>
          </w:tcPr>
          <w:p>
            <w:pPr>
              <w:jc w:val="center"/>
              <w:rPr>
                <w:rFonts w:ascii="Times New Roman" w:hAnsi="Times New Roman"/>
                <w:szCs w:val="21"/>
              </w:rPr>
            </w:pPr>
            <w:r>
              <w:rPr>
                <w:rFonts w:ascii="Times New Roman" w:hAnsi="Times New Roman"/>
                <w:szCs w:val="21"/>
              </w:rPr>
              <w:t>增值税发票税率</w:t>
            </w:r>
          </w:p>
        </w:tc>
        <w:tc>
          <w:tcPr>
            <w:tcW w:w="71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szCs w:val="21"/>
              </w:rPr>
            </w:pP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3" w:type="dxa"/>
            <w:bottom w:w="0" w:type="dxa"/>
            <w:right w:w="108" w:type="dxa"/>
          </w:tblCellMar>
        </w:tblPrEx>
        <w:trPr>
          <w:trHeight w:val="1294" w:hRule="atLeast"/>
          <w:jc w:val="center"/>
        </w:trPr>
        <w:tc>
          <w:tcPr>
            <w:tcW w:w="2893" w:type="dxa"/>
            <w:gridSpan w:val="2"/>
            <w:tcBorders>
              <w:top w:val="single" w:color="000000" w:sz="4" w:space="0"/>
              <w:left w:val="single" w:color="000000" w:sz="4" w:space="0"/>
              <w:bottom w:val="single" w:color="000000" w:sz="4" w:space="0"/>
            </w:tcBorders>
            <w:shd w:val="clear" w:color="auto" w:fill="auto"/>
            <w:vAlign w:val="center"/>
          </w:tcPr>
          <w:p>
            <w:pPr>
              <w:jc w:val="center"/>
              <w:rPr>
                <w:rFonts w:ascii="Times New Roman" w:hAnsi="Times New Roman"/>
                <w:szCs w:val="21"/>
              </w:rPr>
            </w:pPr>
            <w:r>
              <w:rPr>
                <w:rFonts w:ascii="Times New Roman" w:hAnsi="Times New Roman"/>
                <w:szCs w:val="21"/>
              </w:rPr>
              <w:t>总</w:t>
            </w:r>
            <w:r>
              <w:rPr>
                <w:rFonts w:hint="eastAsia" w:ascii="Times New Roman" w:hAnsi="Times New Roman"/>
                <w:szCs w:val="21"/>
              </w:rPr>
              <w:t>报</w:t>
            </w:r>
            <w:r>
              <w:rPr>
                <w:rFonts w:ascii="Times New Roman" w:hAnsi="Times New Roman"/>
                <w:szCs w:val="21"/>
              </w:rPr>
              <w:t>价</w:t>
            </w:r>
          </w:p>
        </w:tc>
        <w:tc>
          <w:tcPr>
            <w:tcW w:w="71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szCs w:val="21"/>
              </w:rPr>
            </w:pPr>
          </w:p>
        </w:tc>
      </w:tr>
    </w:tbl>
    <w:p>
      <w:pPr>
        <w:spacing w:line="360" w:lineRule="auto"/>
        <w:ind w:right="210"/>
        <w:jc w:val="right"/>
        <w:rPr>
          <w:rFonts w:hint="eastAsia" w:ascii="宋体;SimSun" w:hAnsi="宋体;SimSun" w:cs="宋体;SimSun"/>
          <w:sz w:val="22"/>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spacing w:line="360" w:lineRule="auto"/>
        <w:ind w:right="210"/>
        <w:jc w:val="right"/>
      </w:pPr>
    </w:p>
    <w:p>
      <w:pPr>
        <w:adjustRightInd w:val="0"/>
        <w:snapToGrid w:val="0"/>
        <w:jc w:val="left"/>
      </w:pPr>
      <w:r>
        <w:br w:type="page"/>
      </w:r>
    </w:p>
    <w:p>
      <w:pPr>
        <w:adjustRightInd w:val="0"/>
        <w:snapToGrid w:val="0"/>
        <w:jc w:val="left"/>
      </w:pPr>
    </w:p>
    <w:p>
      <w:pPr>
        <w:spacing w:line="440" w:lineRule="exact"/>
        <w:jc w:val="center"/>
        <w:rPr>
          <w:rFonts w:eastAsia="黑体" w:cs="Calibri"/>
          <w:color w:val="000000"/>
          <w:sz w:val="32"/>
          <w:szCs w:val="32"/>
        </w:rPr>
      </w:pPr>
      <w:r>
        <w:rPr>
          <w:rFonts w:eastAsia="黑体" w:cs="Calibri"/>
          <w:color w:val="000000"/>
          <w:sz w:val="32"/>
          <w:szCs w:val="32"/>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53"/>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r>
    </w:tbl>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spacing w:line="440" w:lineRule="exact"/>
        <w:jc w:val="center"/>
        <w:rPr>
          <w:rFonts w:eastAsia="黑体" w:cs="Calibri"/>
          <w:color w:val="000000"/>
          <w:sz w:val="32"/>
          <w:szCs w:val="32"/>
        </w:rPr>
      </w:pPr>
      <w:r>
        <w:rPr>
          <w:rFonts w:eastAsia="黑体" w:cs="Calibri"/>
          <w:color w:val="000000"/>
          <w:sz w:val="32"/>
          <w:szCs w:val="32"/>
        </w:rPr>
        <w:t>（二）近三年</w:t>
      </w:r>
      <w:r>
        <w:rPr>
          <w:rFonts w:hint="eastAsia" w:eastAsia="黑体" w:cs="Calibri"/>
          <w:color w:val="000000"/>
          <w:sz w:val="32"/>
          <w:szCs w:val="32"/>
        </w:rPr>
        <w:t>（合同签订时间或部分服务期在2016年1月1日至投标截止日之内）</w:t>
      </w:r>
      <w:r>
        <w:rPr>
          <w:rFonts w:eastAsia="黑体" w:cs="Calibri"/>
          <w:color w:val="000000"/>
          <w:sz w:val="32"/>
          <w:szCs w:val="32"/>
        </w:rPr>
        <w:t>完成类似</w:t>
      </w:r>
      <w:r>
        <w:rPr>
          <w:rFonts w:hint="eastAsia" w:eastAsia="黑体" w:cs="Calibri"/>
          <w:color w:val="000000"/>
          <w:sz w:val="32"/>
          <w:szCs w:val="32"/>
        </w:rPr>
        <w:t>项目业绩</w:t>
      </w:r>
      <w:r>
        <w:rPr>
          <w:rFonts w:eastAsia="黑体" w:cs="Calibri"/>
          <w:color w:val="000000"/>
          <w:sz w:val="32"/>
          <w:szCs w:val="32"/>
        </w:rPr>
        <w:t>情况</w:t>
      </w:r>
    </w:p>
    <w:tbl>
      <w:tblPr>
        <w:tblStyle w:val="53"/>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24"/>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bl>
    <w:p>
      <w:pPr>
        <w:spacing w:line="360" w:lineRule="auto"/>
        <w:jc w:val="left"/>
        <w:rPr>
          <w:rFonts w:cs="Calibri"/>
          <w:b/>
          <w:sz w:val="36"/>
          <w:szCs w:val="36"/>
        </w:rPr>
      </w:pPr>
      <w:r>
        <w:rPr>
          <w:rFonts w:cs="Calibri"/>
          <w:szCs w:val="21"/>
        </w:rPr>
        <w:t>注：附</w:t>
      </w:r>
      <w:r>
        <w:rPr>
          <w:rFonts w:hint="eastAsia" w:cs="Calibri"/>
          <w:szCs w:val="21"/>
        </w:rPr>
        <w:t>服务</w:t>
      </w:r>
      <w:r>
        <w:rPr>
          <w:rFonts w:cs="Calibri"/>
          <w:szCs w:val="21"/>
        </w:rPr>
        <w:t>合同等相应证明文件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eastAsia="黑体" w:cs="Calibri"/>
          <w:color w:val="000000"/>
          <w:sz w:val="32"/>
          <w:szCs w:val="32"/>
        </w:rPr>
      </w:pPr>
      <w:r>
        <w:rPr>
          <w:rFonts w:eastAsia="黑体" w:cs="Calibri"/>
          <w:color w:val="000000"/>
          <w:sz w:val="32"/>
          <w:szCs w:val="32"/>
        </w:rPr>
        <w:t>六、</w:t>
      </w:r>
      <w:r>
        <w:rPr>
          <w:rFonts w:hint="eastAsia" w:eastAsia="黑体" w:cs="Calibri"/>
          <w:color w:val="000000"/>
          <w:sz w:val="32"/>
          <w:szCs w:val="32"/>
        </w:rPr>
        <w:t>服务大纲</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一</w:t>
      </w:r>
      <w:r>
        <w:rPr>
          <w:rFonts w:eastAsia="黑体" w:cs="Calibri"/>
          <w:color w:val="000000"/>
          <w:sz w:val="32"/>
          <w:szCs w:val="32"/>
        </w:rPr>
        <w:t>）项目负责人简介</w:t>
      </w:r>
    </w:p>
    <w:tbl>
      <w:tblPr>
        <w:tblStyle w:val="53"/>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（五）主要参与</w:t>
      </w:r>
      <w:r>
        <w:rPr>
          <w:rFonts w:hint="eastAsia" w:eastAsia="黑体" w:cs="Calibri"/>
          <w:color w:val="000000"/>
          <w:sz w:val="32"/>
          <w:szCs w:val="32"/>
        </w:rPr>
        <w:t>服务</w:t>
      </w:r>
      <w:r>
        <w:rPr>
          <w:rFonts w:eastAsia="黑体" w:cs="Calibri"/>
          <w:color w:val="000000"/>
          <w:sz w:val="32"/>
          <w:szCs w:val="32"/>
        </w:rPr>
        <w:t>人员简介</w:t>
      </w:r>
    </w:p>
    <w:tbl>
      <w:tblPr>
        <w:tblStyle w:val="53"/>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241"/>
              <w:jc w:val="center"/>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eastAsia="黑体" w:cs="Calibri"/>
          <w:color w:val="000000"/>
          <w:sz w:val="32"/>
          <w:szCs w:val="32"/>
        </w:rPr>
        <w:t>七、</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pPr>
        <w:pStyle w:val="2"/>
        <w:spacing w:before="0" w:after="0" w:line="360" w:lineRule="auto"/>
        <w:jc w:val="center"/>
        <w:rPr>
          <w:rFonts w:cs="Calibri"/>
          <w:b w:val="0"/>
          <w:sz w:val="36"/>
          <w:szCs w:val="36"/>
        </w:rPr>
      </w:pPr>
    </w:p>
    <w:p/>
    <w:sectPr>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CS?o｡ﾀ?">
    <w:altName w:val="MS PGothic"/>
    <w:panose1 w:val="00000000000000000000"/>
    <w:charset w:val="80"/>
    <w:family w:val="modern"/>
    <w:pitch w:val="default"/>
    <w:sig w:usb0="00000000" w:usb1="00000000" w:usb2="00000010" w:usb3="00000000" w:csb0="00020000" w:csb1="00000000"/>
  </w:font>
  <w:font w:name="宋体;SimSun">
    <w:altName w:val="宋体"/>
    <w:panose1 w:val="00000000000000000000"/>
    <w:charset w:val="86"/>
    <w:family w:val="roman"/>
    <w:pitch w:val="default"/>
    <w:sig w:usb0="00000000" w:usb1="00000000" w:usb2="00000000" w:usb3="00000000" w:csb0="00000000" w:csb1="00000000"/>
  </w:font>
  <w:font w:name="仿宋_GB2312;微软雅黑">
    <w:altName w:val="宋体"/>
    <w:panose1 w:val="00000000000000000000"/>
    <w:charset w:val="86"/>
    <w:family w:val="roman"/>
    <w:pitch w:val="default"/>
    <w:sig w:usb0="00000000" w:usb1="00000000" w:usb2="00000000" w:usb3="00000000" w:csb0="00000000" w:csb1="00000000"/>
  </w:font>
  <w:font w:name="Songti SC Bold;Times New Roman">
    <w:altName w:val="Times New Roman"/>
    <w:panose1 w:val="00000000000000000000"/>
    <w:charset w:val="00"/>
    <w:family w:val="roman"/>
    <w:pitch w:val="default"/>
    <w:sig w:usb0="00000000" w:usb1="00000000" w:usb2="00000000" w:usb3="00000000" w:csb0="00000000" w:csb1="00000000"/>
  </w:font>
  <w:font w:name="隶书">
    <w:panose1 w:val="0201050906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298"/>
    </w:sdtPr>
    <w:sdtContent>
      <w:p>
        <w:pPr>
          <w:pStyle w:val="27"/>
          <w:jc w:val="center"/>
        </w:pPr>
        <w:r>
          <w:fldChar w:fldCharType="begin"/>
        </w:r>
        <w:r>
          <w:instrText xml:space="preserve"> PAGE   \* MERGEFORMAT </w:instrText>
        </w:r>
        <w:r>
          <w:fldChar w:fldCharType="separate"/>
        </w:r>
        <w:r>
          <w:rPr>
            <w:lang w:val="zh-CN"/>
          </w:rPr>
          <w:t>-</w:t>
        </w:r>
        <w:r>
          <w:t xml:space="preserve"> 20 -</w:t>
        </w:r>
        <w:r>
          <w:fldChar w:fldCharType="end"/>
        </w:r>
      </w:p>
    </w:sdtContent>
  </w:sdt>
  <w:p>
    <w:pPr>
      <w:pStyle w:val="27"/>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outside" w:y="1"/>
      <w:rPr>
        <w:rStyle w:val="47"/>
      </w:rPr>
    </w:pPr>
    <w:r>
      <w:fldChar w:fldCharType="begin"/>
    </w:r>
    <w:r>
      <w:rPr>
        <w:rStyle w:val="47"/>
      </w:rPr>
      <w:instrText xml:space="preserve">PAGE  </w:instrText>
    </w:r>
    <w:r>
      <w:fldChar w:fldCharType="separate"/>
    </w:r>
    <w:r>
      <w:rPr>
        <w:rStyle w:val="47"/>
      </w:rPr>
      <w:t>0</w:t>
    </w:r>
    <w:r>
      <w:fldChar w:fldCharType="end"/>
    </w:r>
  </w:p>
  <w:p>
    <w:pPr>
      <w:pStyle w:val="2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p>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outside" w:y="1"/>
      <w:rPr>
        <w:rStyle w:val="47"/>
      </w:rPr>
    </w:pPr>
    <w:r>
      <w:fldChar w:fldCharType="begin"/>
    </w:r>
    <w:r>
      <w:rPr>
        <w:rStyle w:val="47"/>
      </w:rPr>
      <w:instrText xml:space="preserve">PAGE  </w:instrText>
    </w:r>
    <w:r>
      <w:fldChar w:fldCharType="separate"/>
    </w:r>
    <w:r>
      <w:rPr>
        <w:rStyle w:val="47"/>
      </w:rPr>
      <w:t>0</w:t>
    </w:r>
    <w:r>
      <w:fldChar w:fldCharType="end"/>
    </w:r>
  </w:p>
  <w:p>
    <w:pPr>
      <w:pStyle w:val="2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left"/>
    </w:pPr>
    <w:r>
      <w:rPr>
        <w:rFonts w:hint="eastAsia"/>
      </w:rPr>
      <w:t>杭州萧山国际机场机坪车辆车载GPS设备使用服务</w:t>
    </w:r>
    <w:r>
      <w:t>项目</w:t>
    </w:r>
    <w:r>
      <w:rPr>
        <w:rFonts w:hint="eastAsia"/>
      </w:rPr>
      <w:t>招标文件</w:t>
    </w:r>
  </w:p>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3A4342"/>
    <w:rsid w:val="6C1C37E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nhideWhenUsed="0" w:uiPriority="0" w:semiHidden="0"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60"/>
    <w:qFormat/>
    <w:uiPriority w:val="0"/>
    <w:pPr>
      <w:keepNext/>
      <w:keepLines/>
      <w:spacing w:before="340" w:after="330" w:line="576" w:lineRule="auto"/>
      <w:outlineLvl w:val="0"/>
    </w:pPr>
    <w:rPr>
      <w:rFonts w:ascii="Times New Roman" w:hAnsi="Times New Roman"/>
      <w:b/>
      <w:bCs/>
      <w:kern w:val="44"/>
      <w:sz w:val="44"/>
      <w:szCs w:val="44"/>
    </w:rPr>
  </w:style>
  <w:style w:type="paragraph" w:styleId="3">
    <w:name w:val="heading 2"/>
    <w:basedOn w:val="1"/>
    <w:next w:val="1"/>
    <w:link w:val="61"/>
    <w:qFormat/>
    <w:uiPriority w:val="0"/>
    <w:pPr>
      <w:keepNext/>
      <w:keepLines/>
      <w:spacing w:before="260" w:after="260" w:line="413" w:lineRule="auto"/>
      <w:outlineLvl w:val="1"/>
    </w:pPr>
    <w:rPr>
      <w:rFonts w:ascii="Arial" w:hAnsi="Arial" w:eastAsia="黑体"/>
      <w:b/>
      <w:bCs/>
      <w:kern w:val="0"/>
      <w:sz w:val="32"/>
      <w:szCs w:val="32"/>
    </w:rPr>
  </w:style>
  <w:style w:type="paragraph" w:styleId="4">
    <w:name w:val="heading 3"/>
    <w:basedOn w:val="1"/>
    <w:next w:val="1"/>
    <w:link w:val="62"/>
    <w:qFormat/>
    <w:uiPriority w:val="0"/>
    <w:pPr>
      <w:spacing w:line="440" w:lineRule="atLeast"/>
      <w:outlineLvl w:val="2"/>
    </w:pPr>
    <w:rPr>
      <w:rFonts w:ascii="Times New Roman" w:hAnsi="Times New Roman" w:eastAsia="楷体_GB2312"/>
      <w:kern w:val="0"/>
      <w:sz w:val="28"/>
      <w:szCs w:val="20"/>
    </w:rPr>
  </w:style>
  <w:style w:type="paragraph" w:styleId="5">
    <w:name w:val="heading 4"/>
    <w:basedOn w:val="1"/>
    <w:next w:val="1"/>
    <w:link w:val="63"/>
    <w:qFormat/>
    <w:uiPriority w:val="0"/>
    <w:pPr>
      <w:keepNext/>
      <w:keepLines/>
      <w:spacing w:before="280" w:after="290" w:line="372" w:lineRule="auto"/>
      <w:outlineLvl w:val="3"/>
    </w:pPr>
    <w:rPr>
      <w:rFonts w:ascii="Arial" w:hAnsi="Arial" w:eastAsia="黑体"/>
      <w:b/>
      <w:bCs/>
      <w:kern w:val="0"/>
      <w:sz w:val="28"/>
      <w:szCs w:val="28"/>
    </w:rPr>
  </w:style>
  <w:style w:type="paragraph" w:styleId="6">
    <w:name w:val="heading 5"/>
    <w:basedOn w:val="1"/>
    <w:next w:val="1"/>
    <w:link w:val="64"/>
    <w:qFormat/>
    <w:uiPriority w:val="0"/>
    <w:pPr>
      <w:keepNext/>
      <w:keepLines/>
      <w:spacing w:before="280" w:after="290" w:line="372" w:lineRule="auto"/>
      <w:outlineLvl w:val="4"/>
    </w:pPr>
    <w:rPr>
      <w:rFonts w:ascii="Times New Roman" w:hAnsi="Times New Roman"/>
      <w:b/>
      <w:bCs/>
      <w:kern w:val="0"/>
      <w:sz w:val="28"/>
      <w:szCs w:val="28"/>
    </w:rPr>
  </w:style>
  <w:style w:type="character" w:default="1" w:styleId="46">
    <w:name w:val="Default Paragraph Font"/>
    <w:unhideWhenUsed/>
    <w:qFormat/>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styleId="7">
    <w:name w:val="List 3"/>
    <w:basedOn w:val="1"/>
    <w:qFormat/>
    <w:uiPriority w:val="0"/>
    <w:pPr>
      <w:ind w:left="100" w:leftChars="400" w:hanging="200" w:hangingChars="200"/>
    </w:pPr>
    <w:rPr>
      <w:rFonts w:ascii="Times New Roman" w:hAnsi="Times New Roman"/>
      <w:szCs w:val="24"/>
    </w:rPr>
  </w:style>
  <w:style w:type="paragraph" w:styleId="8">
    <w:name w:val="annotation subject"/>
    <w:basedOn w:val="9"/>
    <w:next w:val="9"/>
    <w:link w:val="136"/>
    <w:semiHidden/>
    <w:qFormat/>
    <w:uiPriority w:val="0"/>
    <w:rPr>
      <w:rFonts w:ascii="Times New Roman" w:hAnsi="Times New Roman"/>
      <w:b/>
      <w:bCs/>
      <w:kern w:val="0"/>
      <w:sz w:val="20"/>
      <w:szCs w:val="24"/>
    </w:rPr>
  </w:style>
  <w:style w:type="paragraph" w:styleId="9">
    <w:name w:val="annotation text"/>
    <w:basedOn w:val="1"/>
    <w:link w:val="137"/>
    <w:unhideWhenUsed/>
    <w:qFormat/>
    <w:uiPriority w:val="99"/>
    <w:pPr>
      <w:jc w:val="left"/>
    </w:pPr>
  </w:style>
  <w:style w:type="paragraph" w:styleId="10">
    <w:name w:val="toc 7"/>
    <w:basedOn w:val="1"/>
    <w:next w:val="1"/>
    <w:qFormat/>
    <w:uiPriority w:val="0"/>
    <w:pPr>
      <w:ind w:left="2520"/>
    </w:pPr>
    <w:rPr>
      <w:rFonts w:ascii="Times New Roman" w:hAnsi="Times New Roman"/>
      <w:szCs w:val="24"/>
    </w:rPr>
  </w:style>
  <w:style w:type="paragraph" w:styleId="11">
    <w:name w:val="Body Text First Indent"/>
    <w:basedOn w:val="12"/>
    <w:link w:val="108"/>
    <w:qFormat/>
    <w:uiPriority w:val="0"/>
    <w:pPr>
      <w:ind w:firstLine="420" w:firstLineChars="100"/>
    </w:pPr>
    <w:rPr>
      <w:rFonts w:ascii="Times New Roman" w:hAnsi="Times New Roman"/>
      <w:szCs w:val="24"/>
    </w:rPr>
  </w:style>
  <w:style w:type="paragraph" w:styleId="12">
    <w:name w:val="Body Text"/>
    <w:basedOn w:val="1"/>
    <w:link w:val="106"/>
    <w:unhideWhenUsed/>
    <w:qFormat/>
    <w:uiPriority w:val="0"/>
    <w:pPr>
      <w:spacing w:after="120"/>
    </w:pPr>
    <w:rPr>
      <w:kern w:val="0"/>
      <w:sz w:val="20"/>
      <w:szCs w:val="20"/>
    </w:rPr>
  </w:style>
  <w:style w:type="paragraph" w:styleId="13">
    <w:name w:val="Normal Indent"/>
    <w:basedOn w:val="1"/>
    <w:link w:val="135"/>
    <w:qFormat/>
    <w:uiPriority w:val="0"/>
    <w:pPr>
      <w:autoSpaceDE w:val="0"/>
      <w:autoSpaceDN w:val="0"/>
      <w:adjustRightInd w:val="0"/>
      <w:ind w:firstLine="420"/>
      <w:jc w:val="left"/>
    </w:pPr>
    <w:rPr>
      <w:rFonts w:ascii="宋体" w:hAnsi="Times New Roman"/>
      <w:kern w:val="0"/>
      <w:sz w:val="34"/>
      <w:szCs w:val="20"/>
    </w:rPr>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75"/>
    <w:qFormat/>
    <w:uiPriority w:val="0"/>
    <w:pPr>
      <w:shd w:val="clear" w:color="auto" w:fill="000080"/>
    </w:pPr>
    <w:rPr>
      <w:rFonts w:ascii="Times New Roman" w:hAnsi="Times New Roman"/>
      <w:kern w:val="0"/>
      <w:sz w:val="20"/>
      <w:szCs w:val="24"/>
    </w:rPr>
  </w:style>
  <w:style w:type="paragraph" w:styleId="16">
    <w:name w:val="toa heading"/>
    <w:basedOn w:val="1"/>
    <w:next w:val="1"/>
    <w:qFormat/>
    <w:uiPriority w:val="0"/>
    <w:pPr>
      <w:spacing w:before="120"/>
    </w:pPr>
    <w:rPr>
      <w:rFonts w:ascii="Arial" w:hAnsi="Arial" w:cs="Arial"/>
      <w:sz w:val="24"/>
      <w:szCs w:val="24"/>
    </w:rPr>
  </w:style>
  <w:style w:type="paragraph" w:styleId="17">
    <w:name w:val="Body Text Indent"/>
    <w:basedOn w:val="1"/>
    <w:link w:val="69"/>
    <w:unhideWhenUsed/>
    <w:qFormat/>
    <w:uiPriority w:val="0"/>
    <w:pPr>
      <w:spacing w:after="120"/>
      <w:ind w:left="420" w:leftChars="200"/>
    </w:pPr>
    <w:rPr>
      <w:kern w:val="0"/>
      <w:sz w:val="20"/>
      <w:szCs w:val="20"/>
    </w:rPr>
  </w:style>
  <w:style w:type="paragraph" w:styleId="18">
    <w:name w:val="List 2"/>
    <w:basedOn w:val="1"/>
    <w:qFormat/>
    <w:uiPriority w:val="0"/>
    <w:pPr>
      <w:ind w:left="100" w:leftChars="200" w:hanging="200" w:hangingChars="200"/>
    </w:pPr>
    <w:rPr>
      <w:rFonts w:ascii="Times New Roman" w:hAnsi="Times New Roman"/>
      <w:szCs w:val="24"/>
    </w:rPr>
  </w:style>
  <w:style w:type="paragraph" w:styleId="19">
    <w:name w:val="toc 5"/>
    <w:basedOn w:val="1"/>
    <w:next w:val="1"/>
    <w:qFormat/>
    <w:uiPriority w:val="0"/>
    <w:pPr>
      <w:ind w:left="1680"/>
    </w:pPr>
    <w:rPr>
      <w:rFonts w:ascii="Times New Roman" w:hAnsi="Times New Roman"/>
      <w:szCs w:val="24"/>
    </w:rPr>
  </w:style>
  <w:style w:type="paragraph" w:styleId="20">
    <w:name w:val="toc 3"/>
    <w:basedOn w:val="1"/>
    <w:next w:val="1"/>
    <w:qFormat/>
    <w:uiPriority w:val="39"/>
    <w:pPr>
      <w:spacing w:line="360" w:lineRule="auto"/>
      <w:ind w:left="400" w:leftChars="400"/>
    </w:pPr>
    <w:rPr>
      <w:rFonts w:ascii="Times New Roman" w:hAnsi="Times New Roman"/>
      <w:szCs w:val="24"/>
    </w:rPr>
  </w:style>
  <w:style w:type="paragraph" w:styleId="21">
    <w:name w:val="Plain Text"/>
    <w:basedOn w:val="1"/>
    <w:link w:val="114"/>
    <w:qFormat/>
    <w:uiPriority w:val="0"/>
    <w:rPr>
      <w:rFonts w:ascii="宋体" w:hAnsi="Courier New"/>
      <w:kern w:val="0"/>
      <w:sz w:val="20"/>
      <w:szCs w:val="21"/>
    </w:rPr>
  </w:style>
  <w:style w:type="paragraph" w:styleId="22">
    <w:name w:val="toc 8"/>
    <w:basedOn w:val="1"/>
    <w:next w:val="1"/>
    <w:qFormat/>
    <w:uiPriority w:val="0"/>
    <w:pPr>
      <w:ind w:left="2940"/>
    </w:pPr>
    <w:rPr>
      <w:rFonts w:ascii="Times New Roman" w:hAnsi="Times New Roman"/>
      <w:szCs w:val="24"/>
    </w:rPr>
  </w:style>
  <w:style w:type="paragraph" w:styleId="23">
    <w:name w:val="index 3"/>
    <w:basedOn w:val="1"/>
    <w:next w:val="1"/>
    <w:qFormat/>
    <w:uiPriority w:val="0"/>
    <w:pPr>
      <w:ind w:left="400" w:leftChars="400"/>
    </w:pPr>
    <w:rPr>
      <w:rFonts w:ascii="Times New Roman" w:hAnsi="Times New Roman"/>
      <w:szCs w:val="24"/>
    </w:rPr>
  </w:style>
  <w:style w:type="paragraph" w:styleId="24">
    <w:name w:val="Date"/>
    <w:basedOn w:val="1"/>
    <w:next w:val="1"/>
    <w:link w:val="77"/>
    <w:qFormat/>
    <w:uiPriority w:val="0"/>
    <w:pPr>
      <w:ind w:left="100" w:leftChars="2500"/>
    </w:pPr>
    <w:rPr>
      <w:rFonts w:ascii="Times New Roman" w:hAnsi="Times New Roman"/>
      <w:b/>
      <w:bCs/>
      <w:kern w:val="0"/>
      <w:sz w:val="36"/>
      <w:szCs w:val="24"/>
    </w:rPr>
  </w:style>
  <w:style w:type="paragraph" w:styleId="25">
    <w:name w:val="Body Text Indent 2"/>
    <w:basedOn w:val="1"/>
    <w:link w:val="121"/>
    <w:qFormat/>
    <w:uiPriority w:val="0"/>
    <w:pPr>
      <w:spacing w:after="120" w:line="480" w:lineRule="auto"/>
      <w:ind w:left="420" w:leftChars="200"/>
    </w:pPr>
    <w:rPr>
      <w:rFonts w:ascii="Times New Roman" w:hAnsi="Times New Roman"/>
      <w:kern w:val="0"/>
      <w:sz w:val="20"/>
      <w:szCs w:val="24"/>
    </w:rPr>
  </w:style>
  <w:style w:type="paragraph" w:styleId="26">
    <w:name w:val="Balloon Text"/>
    <w:basedOn w:val="1"/>
    <w:link w:val="110"/>
    <w:qFormat/>
    <w:uiPriority w:val="0"/>
    <w:rPr>
      <w:rFonts w:ascii="Times New Roman" w:hAnsi="Times New Roman"/>
      <w:kern w:val="0"/>
      <w:sz w:val="18"/>
      <w:szCs w:val="18"/>
    </w:rPr>
  </w:style>
  <w:style w:type="paragraph" w:styleId="27">
    <w:name w:val="footer"/>
    <w:basedOn w:val="1"/>
    <w:link w:val="123"/>
    <w:qFormat/>
    <w:uiPriority w:val="99"/>
    <w:pPr>
      <w:tabs>
        <w:tab w:val="center" w:pos="4153"/>
        <w:tab w:val="right" w:pos="8306"/>
      </w:tabs>
      <w:snapToGrid w:val="0"/>
      <w:jc w:val="left"/>
    </w:pPr>
    <w:rPr>
      <w:rFonts w:ascii="Times New Roman" w:hAnsi="Times New Roman"/>
      <w:kern w:val="0"/>
      <w:sz w:val="18"/>
      <w:szCs w:val="18"/>
    </w:rPr>
  </w:style>
  <w:style w:type="paragraph" w:styleId="28">
    <w:name w:val="Body Text First Indent 2"/>
    <w:basedOn w:val="17"/>
    <w:link w:val="71"/>
    <w:qFormat/>
    <w:uiPriority w:val="0"/>
    <w:pPr>
      <w:ind w:firstLine="420" w:firstLineChars="200"/>
    </w:pPr>
    <w:rPr>
      <w:rFonts w:ascii="Times New Roman" w:hAnsi="Times New Roman"/>
      <w:szCs w:val="24"/>
    </w:rPr>
  </w:style>
  <w:style w:type="paragraph" w:styleId="29">
    <w:name w:val="header"/>
    <w:basedOn w:val="1"/>
    <w:link w:val="73"/>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30">
    <w:name w:val="toc 1"/>
    <w:basedOn w:val="2"/>
    <w:next w:val="1"/>
    <w:qFormat/>
    <w:uiPriority w:val="39"/>
    <w:pPr>
      <w:tabs>
        <w:tab w:val="right" w:leader="dot" w:pos="8659"/>
      </w:tabs>
      <w:spacing w:before="0" w:after="0" w:line="240" w:lineRule="auto"/>
      <w:jc w:val="center"/>
    </w:pPr>
    <w:rPr>
      <w:b w:val="0"/>
      <w:sz w:val="21"/>
    </w:rPr>
  </w:style>
  <w:style w:type="paragraph" w:styleId="31">
    <w:name w:val="toc 4"/>
    <w:basedOn w:val="1"/>
    <w:next w:val="1"/>
    <w:qFormat/>
    <w:uiPriority w:val="0"/>
    <w:pPr>
      <w:ind w:left="1260"/>
    </w:pPr>
    <w:rPr>
      <w:rFonts w:ascii="Times New Roman" w:hAnsi="Times New Roman"/>
      <w:szCs w:val="24"/>
    </w:rPr>
  </w:style>
  <w:style w:type="paragraph" w:styleId="32">
    <w:name w:val="List"/>
    <w:basedOn w:val="1"/>
    <w:qFormat/>
    <w:uiPriority w:val="0"/>
    <w:pPr>
      <w:ind w:left="200" w:hanging="200" w:hangingChars="200"/>
    </w:pPr>
    <w:rPr>
      <w:rFonts w:ascii="Times New Roman" w:hAnsi="Times New Roman"/>
      <w:szCs w:val="24"/>
    </w:rPr>
  </w:style>
  <w:style w:type="paragraph" w:styleId="33">
    <w:name w:val="footnote text"/>
    <w:basedOn w:val="1"/>
    <w:link w:val="112"/>
    <w:qFormat/>
    <w:uiPriority w:val="0"/>
    <w:pPr>
      <w:snapToGrid w:val="0"/>
      <w:jc w:val="left"/>
    </w:pPr>
    <w:rPr>
      <w:rFonts w:ascii="Times New Roman" w:hAnsi="Times New Roman"/>
      <w:kern w:val="0"/>
      <w:sz w:val="18"/>
      <w:szCs w:val="18"/>
    </w:rPr>
  </w:style>
  <w:style w:type="paragraph" w:styleId="34">
    <w:name w:val="toc 6"/>
    <w:basedOn w:val="1"/>
    <w:next w:val="1"/>
    <w:qFormat/>
    <w:uiPriority w:val="0"/>
    <w:pPr>
      <w:ind w:left="2100"/>
    </w:pPr>
    <w:rPr>
      <w:rFonts w:ascii="Times New Roman" w:hAnsi="Times New Roman"/>
      <w:szCs w:val="24"/>
    </w:rPr>
  </w:style>
  <w:style w:type="paragraph" w:styleId="35">
    <w:name w:val="Body Text Indent 3"/>
    <w:basedOn w:val="1"/>
    <w:link w:val="67"/>
    <w:qFormat/>
    <w:uiPriority w:val="0"/>
    <w:pPr>
      <w:spacing w:line="540" w:lineRule="atLeast"/>
      <w:ind w:firstLine="480" w:firstLineChars="200"/>
    </w:pPr>
    <w:rPr>
      <w:rFonts w:ascii="Times New Roman" w:hAnsi="Times New Roman"/>
      <w:kern w:val="0"/>
      <w:sz w:val="24"/>
      <w:szCs w:val="24"/>
    </w:rPr>
  </w:style>
  <w:style w:type="paragraph" w:styleId="36">
    <w:name w:val="table of figures"/>
    <w:basedOn w:val="1"/>
    <w:next w:val="1"/>
    <w:qFormat/>
    <w:uiPriority w:val="0"/>
    <w:pPr>
      <w:ind w:left="200" w:leftChars="200" w:hanging="200" w:hangingChars="200"/>
    </w:pPr>
    <w:rPr>
      <w:rFonts w:ascii="Times New Roman" w:hAnsi="Times New Roman"/>
      <w:szCs w:val="24"/>
    </w:rPr>
  </w:style>
  <w:style w:type="paragraph" w:styleId="37">
    <w:name w:val="toc 2"/>
    <w:basedOn w:val="1"/>
    <w:next w:val="1"/>
    <w:qFormat/>
    <w:uiPriority w:val="39"/>
    <w:pPr>
      <w:spacing w:line="360" w:lineRule="auto"/>
      <w:ind w:left="200" w:leftChars="200"/>
    </w:pPr>
    <w:rPr>
      <w:rFonts w:ascii="Times New Roman" w:hAnsi="Times New Roman"/>
      <w:szCs w:val="24"/>
    </w:rPr>
  </w:style>
  <w:style w:type="paragraph" w:styleId="38">
    <w:name w:val="toc 9"/>
    <w:basedOn w:val="1"/>
    <w:next w:val="1"/>
    <w:qFormat/>
    <w:uiPriority w:val="0"/>
    <w:pPr>
      <w:ind w:left="3360"/>
    </w:pPr>
    <w:rPr>
      <w:rFonts w:ascii="Times New Roman" w:hAnsi="Times New Roman"/>
      <w:szCs w:val="24"/>
    </w:rPr>
  </w:style>
  <w:style w:type="paragraph" w:styleId="39">
    <w:name w:val="Body Text 2"/>
    <w:basedOn w:val="1"/>
    <w:link w:val="119"/>
    <w:qFormat/>
    <w:uiPriority w:val="0"/>
    <w:pPr>
      <w:spacing w:after="120" w:line="480" w:lineRule="auto"/>
    </w:pPr>
    <w:rPr>
      <w:rFonts w:ascii="Times New Roman" w:hAnsi="Times New Roman"/>
      <w:kern w:val="0"/>
      <w:sz w:val="20"/>
      <w:szCs w:val="24"/>
    </w:rPr>
  </w:style>
  <w:style w:type="paragraph" w:styleId="40">
    <w:name w:val="List 4"/>
    <w:basedOn w:val="1"/>
    <w:qFormat/>
    <w:uiPriority w:val="0"/>
    <w:pPr>
      <w:ind w:left="100" w:leftChars="600" w:hanging="200" w:hangingChars="200"/>
    </w:pPr>
    <w:rPr>
      <w:rFonts w:ascii="Times New Roman" w:hAnsi="Times New Roman"/>
      <w:szCs w:val="24"/>
    </w:rPr>
  </w:style>
  <w:style w:type="paragraph" w:styleId="41">
    <w:name w:val="List Continue 2"/>
    <w:basedOn w:val="1"/>
    <w:qFormat/>
    <w:uiPriority w:val="0"/>
    <w:pPr>
      <w:spacing w:after="120"/>
      <w:ind w:left="840" w:leftChars="400"/>
    </w:pPr>
    <w:rPr>
      <w:rFonts w:ascii="Times New Roman" w:hAnsi="Times New Roman"/>
      <w:szCs w:val="24"/>
    </w:rPr>
  </w:style>
  <w:style w:type="paragraph" w:styleId="4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3">
    <w:name w:val="index 1"/>
    <w:basedOn w:val="1"/>
    <w:next w:val="1"/>
    <w:qFormat/>
    <w:uiPriority w:val="0"/>
    <w:pPr>
      <w:spacing w:line="320" w:lineRule="exact"/>
    </w:pPr>
    <w:rPr>
      <w:rFonts w:ascii="Times New Roman" w:hAnsi="Times New Roman"/>
      <w:snapToGrid w:val="0"/>
      <w:color w:val="FF6600"/>
      <w:kern w:val="0"/>
      <w:sz w:val="18"/>
      <w:szCs w:val="21"/>
    </w:rPr>
  </w:style>
  <w:style w:type="paragraph" w:styleId="44">
    <w:name w:val="index 2"/>
    <w:basedOn w:val="1"/>
    <w:next w:val="1"/>
    <w:qFormat/>
    <w:uiPriority w:val="0"/>
    <w:pPr>
      <w:ind w:left="200" w:leftChars="200"/>
    </w:pPr>
    <w:rPr>
      <w:rFonts w:ascii="Times New Roman" w:hAnsi="Times New Roman"/>
      <w:szCs w:val="24"/>
    </w:rPr>
  </w:style>
  <w:style w:type="paragraph" w:styleId="45">
    <w:name w:val="Title"/>
    <w:basedOn w:val="1"/>
    <w:next w:val="1"/>
    <w:link w:val="79"/>
    <w:qFormat/>
    <w:uiPriority w:val="10"/>
    <w:pPr>
      <w:spacing w:before="240" w:after="60"/>
      <w:jc w:val="center"/>
      <w:outlineLvl w:val="0"/>
    </w:pPr>
    <w:rPr>
      <w:rFonts w:ascii="Arial" w:hAnsi="Arial"/>
      <w:b/>
      <w:bCs/>
      <w:kern w:val="0"/>
      <w:sz w:val="32"/>
      <w:szCs w:val="32"/>
    </w:rPr>
  </w:style>
  <w:style w:type="character" w:styleId="47">
    <w:name w:val="page number"/>
    <w:qFormat/>
    <w:uiPriority w:val="0"/>
    <w:rPr>
      <w:rFonts w:ascii="Calibri" w:hAnsi="Calibri" w:eastAsia="宋体" w:cs="Times New Roman"/>
    </w:rPr>
  </w:style>
  <w:style w:type="character" w:styleId="48">
    <w:name w:val="FollowedHyperlink"/>
    <w:qFormat/>
    <w:uiPriority w:val="0"/>
    <w:rPr>
      <w:rFonts w:ascii="Calibri" w:hAnsi="Calibri" w:eastAsia="宋体" w:cs="Times New Roman"/>
      <w:color w:val="800080"/>
      <w:u w:val="single"/>
    </w:rPr>
  </w:style>
  <w:style w:type="character" w:styleId="49">
    <w:name w:val="Emphasis"/>
    <w:qFormat/>
    <w:uiPriority w:val="20"/>
    <w:rPr>
      <w:rFonts w:ascii="Calibri" w:hAnsi="Calibri" w:eastAsia="宋体" w:cs="Times New Roman"/>
      <w:i/>
      <w:iCs/>
    </w:rPr>
  </w:style>
  <w:style w:type="character" w:styleId="50">
    <w:name w:val="Hyperlink"/>
    <w:qFormat/>
    <w:uiPriority w:val="99"/>
    <w:rPr>
      <w:rFonts w:ascii="Calibri" w:hAnsi="Calibri" w:eastAsia="宋体" w:cs="Times New Roman"/>
      <w:color w:val="0000FF"/>
      <w:u w:val="single"/>
    </w:rPr>
  </w:style>
  <w:style w:type="character" w:styleId="51">
    <w:name w:val="annotation reference"/>
    <w:qFormat/>
    <w:uiPriority w:val="0"/>
    <w:rPr>
      <w:rFonts w:ascii="Calibri" w:hAnsi="Calibri" w:eastAsia="宋体" w:cs="Times New Roman"/>
      <w:sz w:val="21"/>
      <w:szCs w:val="21"/>
    </w:rPr>
  </w:style>
  <w:style w:type="character" w:styleId="52">
    <w:name w:val="footnote reference"/>
    <w:qFormat/>
    <w:uiPriority w:val="0"/>
    <w:rPr>
      <w:rFonts w:ascii="Calibri" w:hAnsi="Calibri" w:eastAsia="宋体" w:cs="Times New Roman"/>
      <w:vertAlign w:val="superscript"/>
    </w:rPr>
  </w:style>
  <w:style w:type="table" w:styleId="54">
    <w:name w:val="Table Grid"/>
    <w:basedOn w:val="53"/>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
    <w:name w:val="标题 1 字符"/>
    <w:qFormat/>
    <w:uiPriority w:val="9"/>
    <w:rPr>
      <w:rFonts w:ascii="Calibri" w:hAnsi="Calibri" w:eastAsia="宋体" w:cs="Times New Roman"/>
      <w:b/>
      <w:bCs/>
      <w:kern w:val="44"/>
      <w:sz w:val="44"/>
      <w:szCs w:val="44"/>
    </w:rPr>
  </w:style>
  <w:style w:type="character" w:customStyle="1" w:styleId="56">
    <w:name w:val="标题 2 字符"/>
    <w:semiHidden/>
    <w:qFormat/>
    <w:uiPriority w:val="9"/>
    <w:rPr>
      <w:rFonts w:ascii="Calibri Light" w:hAnsi="Calibri Light" w:eastAsia="宋体" w:cs="Times New Roman"/>
      <w:b/>
      <w:bCs/>
      <w:sz w:val="32"/>
      <w:szCs w:val="32"/>
    </w:rPr>
  </w:style>
  <w:style w:type="character" w:customStyle="1" w:styleId="57">
    <w:name w:val="标题 3 字符"/>
    <w:semiHidden/>
    <w:qFormat/>
    <w:uiPriority w:val="9"/>
    <w:rPr>
      <w:rFonts w:ascii="Calibri" w:hAnsi="Calibri" w:eastAsia="宋体" w:cs="Times New Roman"/>
      <w:b/>
      <w:bCs/>
      <w:sz w:val="32"/>
      <w:szCs w:val="32"/>
    </w:rPr>
  </w:style>
  <w:style w:type="character" w:customStyle="1" w:styleId="58">
    <w:name w:val="标题 4 字符"/>
    <w:semiHidden/>
    <w:qFormat/>
    <w:uiPriority w:val="9"/>
    <w:rPr>
      <w:rFonts w:ascii="Calibri Light" w:hAnsi="Calibri Light" w:eastAsia="宋体" w:cs="Times New Roman"/>
      <w:b/>
      <w:bCs/>
      <w:sz w:val="28"/>
      <w:szCs w:val="28"/>
    </w:rPr>
  </w:style>
  <w:style w:type="character" w:customStyle="1" w:styleId="59">
    <w:name w:val="标题 5 字符"/>
    <w:semiHidden/>
    <w:qFormat/>
    <w:uiPriority w:val="9"/>
    <w:rPr>
      <w:rFonts w:ascii="Calibri" w:hAnsi="Calibri" w:eastAsia="宋体" w:cs="Times New Roman"/>
      <w:b/>
      <w:bCs/>
      <w:sz w:val="28"/>
      <w:szCs w:val="28"/>
    </w:rPr>
  </w:style>
  <w:style w:type="character" w:customStyle="1" w:styleId="60">
    <w:name w:val="标题 1 字符1"/>
    <w:link w:val="2"/>
    <w:qFormat/>
    <w:uiPriority w:val="0"/>
    <w:rPr>
      <w:rFonts w:ascii="Times New Roman" w:hAnsi="Times New Roman" w:eastAsia="宋体" w:cs="Times New Roman"/>
      <w:b/>
      <w:bCs/>
      <w:kern w:val="44"/>
      <w:sz w:val="44"/>
      <w:szCs w:val="44"/>
    </w:rPr>
  </w:style>
  <w:style w:type="character" w:customStyle="1" w:styleId="61">
    <w:name w:val="标题 2 字符1"/>
    <w:link w:val="3"/>
    <w:qFormat/>
    <w:uiPriority w:val="0"/>
    <w:rPr>
      <w:rFonts w:ascii="Arial" w:hAnsi="Arial" w:eastAsia="黑体" w:cs="Times New Roman"/>
      <w:b/>
      <w:bCs/>
      <w:kern w:val="0"/>
      <w:sz w:val="32"/>
      <w:szCs w:val="32"/>
    </w:rPr>
  </w:style>
  <w:style w:type="character" w:customStyle="1" w:styleId="62">
    <w:name w:val="标题 3 字符1"/>
    <w:link w:val="4"/>
    <w:qFormat/>
    <w:uiPriority w:val="0"/>
    <w:rPr>
      <w:rFonts w:ascii="Times New Roman" w:hAnsi="Times New Roman" w:eastAsia="楷体_GB2312" w:cs="Times New Roman"/>
      <w:kern w:val="0"/>
      <w:sz w:val="28"/>
      <w:szCs w:val="20"/>
    </w:rPr>
  </w:style>
  <w:style w:type="character" w:customStyle="1" w:styleId="63">
    <w:name w:val="标题 4 字符1"/>
    <w:link w:val="5"/>
    <w:qFormat/>
    <w:uiPriority w:val="0"/>
    <w:rPr>
      <w:rFonts w:ascii="Arial" w:hAnsi="Arial" w:eastAsia="黑体" w:cs="Times New Roman"/>
      <w:b/>
      <w:bCs/>
      <w:kern w:val="0"/>
      <w:sz w:val="28"/>
      <w:szCs w:val="28"/>
    </w:rPr>
  </w:style>
  <w:style w:type="character" w:customStyle="1" w:styleId="64">
    <w:name w:val="标题 5 字符1"/>
    <w:link w:val="6"/>
    <w:qFormat/>
    <w:uiPriority w:val="0"/>
    <w:rPr>
      <w:rFonts w:ascii="Times New Roman" w:hAnsi="Times New Roman" w:eastAsia="宋体" w:cs="Times New Roman"/>
      <w:b/>
      <w:bCs/>
      <w:kern w:val="0"/>
      <w:sz w:val="28"/>
      <w:szCs w:val="28"/>
    </w:rPr>
  </w:style>
  <w:style w:type="character" w:customStyle="1" w:styleId="65">
    <w:name w:val="zbggmain style9"/>
    <w:qFormat/>
    <w:uiPriority w:val="0"/>
    <w:rPr>
      <w:rFonts w:ascii="Calibri" w:hAnsi="Calibri" w:eastAsia="宋体" w:cs="Times New Roman"/>
    </w:rPr>
  </w:style>
  <w:style w:type="character" w:customStyle="1" w:styleId="66">
    <w:name w:val="正文文本缩进 3 字符"/>
    <w:semiHidden/>
    <w:qFormat/>
    <w:uiPriority w:val="99"/>
    <w:rPr>
      <w:rFonts w:ascii="Calibri" w:hAnsi="Calibri" w:eastAsia="宋体" w:cs="Times New Roman"/>
      <w:sz w:val="16"/>
      <w:szCs w:val="16"/>
    </w:rPr>
  </w:style>
  <w:style w:type="character" w:customStyle="1" w:styleId="67">
    <w:name w:val="正文文本缩进 3 字符1"/>
    <w:link w:val="35"/>
    <w:qFormat/>
    <w:uiPriority w:val="0"/>
    <w:rPr>
      <w:rFonts w:ascii="Times New Roman" w:hAnsi="Times New Roman" w:eastAsia="宋体" w:cs="Times New Roman"/>
      <w:kern w:val="0"/>
      <w:sz w:val="24"/>
      <w:szCs w:val="24"/>
    </w:rPr>
  </w:style>
  <w:style w:type="character" w:customStyle="1" w:styleId="68">
    <w:name w:val="正文文本缩进 字符"/>
    <w:basedOn w:val="46"/>
    <w:semiHidden/>
    <w:qFormat/>
    <w:uiPriority w:val="99"/>
    <w:rPr>
      <w:rFonts w:ascii="Calibri" w:hAnsi="Calibri" w:eastAsia="宋体" w:cs="Times New Roman"/>
    </w:rPr>
  </w:style>
  <w:style w:type="character" w:customStyle="1" w:styleId="69">
    <w:name w:val="正文文本缩进 字符1"/>
    <w:link w:val="17"/>
    <w:qFormat/>
    <w:uiPriority w:val="0"/>
    <w:rPr>
      <w:rFonts w:ascii="Calibri" w:hAnsi="Calibri" w:eastAsia="宋体" w:cs="Times New Roman"/>
      <w:kern w:val="0"/>
      <w:sz w:val="20"/>
      <w:szCs w:val="20"/>
    </w:rPr>
  </w:style>
  <w:style w:type="character" w:customStyle="1" w:styleId="70">
    <w:name w:val="正文首行缩进 2 字符"/>
    <w:basedOn w:val="68"/>
    <w:semiHidden/>
    <w:qFormat/>
    <w:uiPriority w:val="99"/>
  </w:style>
  <w:style w:type="character" w:customStyle="1" w:styleId="71">
    <w:name w:val="正文首行缩进 2 字符1"/>
    <w:link w:val="28"/>
    <w:qFormat/>
    <w:uiPriority w:val="0"/>
    <w:rPr>
      <w:rFonts w:ascii="Times New Roman" w:hAnsi="Times New Roman" w:eastAsia="宋体" w:cs="Times New Roman"/>
      <w:szCs w:val="24"/>
    </w:rPr>
  </w:style>
  <w:style w:type="character" w:customStyle="1" w:styleId="72">
    <w:name w:val="页眉 字符"/>
    <w:semiHidden/>
    <w:qFormat/>
    <w:uiPriority w:val="99"/>
    <w:rPr>
      <w:rFonts w:ascii="Calibri" w:hAnsi="Calibri" w:eastAsia="宋体" w:cs="Times New Roman"/>
      <w:sz w:val="18"/>
      <w:szCs w:val="18"/>
    </w:rPr>
  </w:style>
  <w:style w:type="character" w:customStyle="1" w:styleId="73">
    <w:name w:val="页眉 字符1"/>
    <w:link w:val="29"/>
    <w:qFormat/>
    <w:uiPriority w:val="99"/>
    <w:rPr>
      <w:rFonts w:ascii="Times New Roman" w:hAnsi="Times New Roman" w:eastAsia="宋体" w:cs="Times New Roman"/>
      <w:kern w:val="0"/>
      <w:sz w:val="18"/>
      <w:szCs w:val="18"/>
    </w:rPr>
  </w:style>
  <w:style w:type="character" w:customStyle="1" w:styleId="74">
    <w:name w:val="文档结构图 字符"/>
    <w:semiHidden/>
    <w:qFormat/>
    <w:uiPriority w:val="99"/>
    <w:rPr>
      <w:rFonts w:ascii="Microsoft YaHei UI" w:hAnsi="Calibri" w:eastAsia="Microsoft YaHei UI" w:cs="Times New Roman"/>
      <w:sz w:val="18"/>
      <w:szCs w:val="18"/>
    </w:rPr>
  </w:style>
  <w:style w:type="character" w:customStyle="1" w:styleId="75">
    <w:name w:val="文档结构图 字符1"/>
    <w:link w:val="15"/>
    <w:qFormat/>
    <w:uiPriority w:val="0"/>
    <w:rPr>
      <w:rFonts w:ascii="Times New Roman" w:hAnsi="Times New Roman" w:eastAsia="宋体" w:cs="Times New Roman"/>
      <w:kern w:val="0"/>
      <w:sz w:val="20"/>
      <w:szCs w:val="24"/>
    </w:rPr>
  </w:style>
  <w:style w:type="character" w:customStyle="1" w:styleId="76">
    <w:name w:val="日期 字符"/>
    <w:basedOn w:val="46"/>
    <w:semiHidden/>
    <w:qFormat/>
    <w:uiPriority w:val="99"/>
    <w:rPr>
      <w:rFonts w:ascii="Calibri" w:hAnsi="Calibri" w:eastAsia="宋体" w:cs="Times New Roman"/>
    </w:rPr>
  </w:style>
  <w:style w:type="character" w:customStyle="1" w:styleId="77">
    <w:name w:val="日期 字符1"/>
    <w:link w:val="24"/>
    <w:qFormat/>
    <w:uiPriority w:val="0"/>
    <w:rPr>
      <w:rFonts w:ascii="Times New Roman" w:hAnsi="Times New Roman" w:eastAsia="宋体" w:cs="Times New Roman"/>
      <w:b/>
      <w:bCs/>
      <w:kern w:val="0"/>
      <w:sz w:val="36"/>
      <w:szCs w:val="24"/>
    </w:rPr>
  </w:style>
  <w:style w:type="character" w:customStyle="1" w:styleId="78">
    <w:name w:val="标题 字符"/>
    <w:qFormat/>
    <w:uiPriority w:val="10"/>
    <w:rPr>
      <w:rFonts w:ascii="Calibri Light" w:hAnsi="Calibri Light" w:eastAsia="宋体" w:cs="Times New Roman"/>
      <w:b/>
      <w:bCs/>
      <w:sz w:val="32"/>
      <w:szCs w:val="32"/>
    </w:rPr>
  </w:style>
  <w:style w:type="character" w:customStyle="1" w:styleId="79">
    <w:name w:val="标题 字符1"/>
    <w:link w:val="45"/>
    <w:qFormat/>
    <w:uiPriority w:val="10"/>
    <w:rPr>
      <w:rFonts w:ascii="Arial" w:hAnsi="Arial" w:eastAsia="宋体" w:cs="Times New Roman"/>
      <w:b/>
      <w:bCs/>
      <w:kern w:val="0"/>
      <w:sz w:val="32"/>
      <w:szCs w:val="32"/>
    </w:rPr>
  </w:style>
  <w:style w:type="paragraph" w:customStyle="1" w:styleId="80">
    <w:name w:val="样式2"/>
    <w:basedOn w:val="36"/>
    <w:qFormat/>
    <w:uiPriority w:val="0"/>
    <w:pPr>
      <w:ind w:firstLine="2720"/>
    </w:pPr>
    <w:rPr>
      <w:bCs/>
    </w:rPr>
  </w:style>
  <w:style w:type="paragraph" w:customStyle="1" w:styleId="81">
    <w:name w:val="0"/>
    <w:basedOn w:val="1"/>
    <w:qFormat/>
    <w:uiPriority w:val="0"/>
    <w:pPr>
      <w:widowControl/>
    </w:pPr>
    <w:rPr>
      <w:rFonts w:ascii="Times New Roman" w:hAnsi="Times New Roman"/>
      <w:kern w:val="0"/>
      <w:szCs w:val="20"/>
    </w:rPr>
  </w:style>
  <w:style w:type="paragraph" w:customStyle="1" w:styleId="82">
    <w:name w:val="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83">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84">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kern w:val="0"/>
      <w:sz w:val="24"/>
      <w:szCs w:val="20"/>
    </w:rPr>
  </w:style>
  <w:style w:type="paragraph" w:customStyle="1" w:styleId="85">
    <w:name w:val="Char"/>
    <w:basedOn w:val="1"/>
    <w:qFormat/>
    <w:uiPriority w:val="0"/>
    <w:pPr>
      <w:spacing w:line="360" w:lineRule="auto"/>
    </w:pPr>
    <w:rPr>
      <w:rFonts w:ascii="黑体" w:hAnsi="黑体"/>
      <w:sz w:val="24"/>
      <w:szCs w:val="24"/>
      <w:lang w:val="zh-CN"/>
    </w:rPr>
  </w:style>
  <w:style w:type="paragraph" w:customStyle="1" w:styleId="86">
    <w:name w:val="1 Char Char Char"/>
    <w:basedOn w:val="1"/>
    <w:next w:val="4"/>
    <w:qFormat/>
    <w:uiPriority w:val="0"/>
    <w:pPr>
      <w:spacing w:line="500" w:lineRule="exact"/>
      <w:ind w:firstLine="200"/>
      <w:jc w:val="center"/>
    </w:pPr>
    <w:rPr>
      <w:rFonts w:ascii="仿宋_GB2312" w:hAnsi="Arial" w:eastAsia="仿宋_GB2312" w:cs="Arial"/>
      <w:bCs/>
      <w:sz w:val="32"/>
      <w:szCs w:val="32"/>
    </w:rPr>
  </w:style>
  <w:style w:type="paragraph" w:customStyle="1" w:styleId="87">
    <w:name w:val="z-窗体顶端1"/>
    <w:basedOn w:val="1"/>
    <w:next w:val="1"/>
    <w:link w:val="89"/>
    <w:qFormat/>
    <w:uiPriority w:val="0"/>
    <w:pPr>
      <w:pBdr>
        <w:bottom w:val="single" w:color="auto" w:sz="6" w:space="1"/>
      </w:pBdr>
      <w:jc w:val="center"/>
    </w:pPr>
    <w:rPr>
      <w:rFonts w:ascii="Arial" w:hAnsi="Arial"/>
      <w:vanish/>
      <w:kern w:val="0"/>
      <w:sz w:val="16"/>
      <w:szCs w:val="16"/>
    </w:rPr>
  </w:style>
  <w:style w:type="character" w:customStyle="1" w:styleId="88">
    <w:name w:val="z-窗体顶端 字符"/>
    <w:semiHidden/>
    <w:qFormat/>
    <w:uiPriority w:val="99"/>
    <w:rPr>
      <w:rFonts w:ascii="Arial" w:hAnsi="Arial" w:eastAsia="宋体" w:cs="Arial"/>
      <w:vanish/>
      <w:sz w:val="16"/>
      <w:szCs w:val="16"/>
    </w:rPr>
  </w:style>
  <w:style w:type="character" w:customStyle="1" w:styleId="89">
    <w:name w:val="z-窗体顶端 Char"/>
    <w:link w:val="87"/>
    <w:qFormat/>
    <w:uiPriority w:val="0"/>
    <w:rPr>
      <w:rFonts w:ascii="Arial" w:hAnsi="Arial" w:eastAsia="宋体" w:cs="Times New Roman"/>
      <w:vanish/>
      <w:kern w:val="0"/>
      <w:sz w:val="16"/>
      <w:szCs w:val="16"/>
    </w:rPr>
  </w:style>
  <w:style w:type="paragraph" w:customStyle="1" w:styleId="90">
    <w:name w:val="_Style 10"/>
    <w:basedOn w:val="1"/>
    <w:next w:val="1"/>
    <w:qFormat/>
    <w:uiPriority w:val="0"/>
    <w:rPr>
      <w:rFonts w:ascii="Times New Roman" w:hAnsi="Times New Roman"/>
      <w:szCs w:val="24"/>
    </w:rPr>
  </w:style>
  <w:style w:type="paragraph" w:customStyle="1" w:styleId="91">
    <w:name w:val="Char Char"/>
    <w:basedOn w:val="1"/>
    <w:qFormat/>
    <w:uiPriority w:val="0"/>
    <w:rPr>
      <w:rFonts w:ascii="Tahoma" w:hAnsi="Tahoma"/>
      <w:sz w:val="24"/>
      <w:szCs w:val="20"/>
    </w:rPr>
  </w:style>
  <w:style w:type="paragraph" w:customStyle="1" w:styleId="92">
    <w:name w:val="默认段落字体 Para Char Char Char Char"/>
    <w:basedOn w:val="1"/>
    <w:qFormat/>
    <w:uiPriority w:val="0"/>
    <w:pPr>
      <w:spacing w:line="360" w:lineRule="auto"/>
      <w:ind w:firstLine="200" w:firstLineChars="200"/>
    </w:pPr>
    <w:rPr>
      <w:rFonts w:ascii="宋体" w:hAnsi="宋体" w:cs="宋体"/>
      <w:sz w:val="24"/>
      <w:szCs w:val="24"/>
    </w:rPr>
  </w:style>
  <w:style w:type="paragraph" w:customStyle="1" w:styleId="93">
    <w:name w:val="Char Char Char Char"/>
    <w:basedOn w:val="1"/>
    <w:qFormat/>
    <w:uiPriority w:val="0"/>
    <w:rPr>
      <w:rFonts w:ascii="仿宋_GB2312" w:hAnsi="Times New Roman" w:eastAsia="仿宋_GB2312"/>
      <w:b/>
      <w:sz w:val="32"/>
      <w:szCs w:val="32"/>
    </w:rPr>
  </w:style>
  <w:style w:type="paragraph" w:customStyle="1" w:styleId="94">
    <w:name w:val="末级"/>
    <w:basedOn w:val="1"/>
    <w:qFormat/>
    <w:uiPriority w:val="0"/>
    <w:pPr>
      <w:tabs>
        <w:tab w:val="left" w:pos="851"/>
      </w:tabs>
      <w:spacing w:line="360" w:lineRule="auto"/>
      <w:ind w:firstLine="510"/>
    </w:pPr>
    <w:rPr>
      <w:rFonts w:ascii="Times New Roman" w:hAnsi="Times New Roman"/>
      <w:sz w:val="24"/>
      <w:szCs w:val="24"/>
    </w:rPr>
  </w:style>
  <w:style w:type="paragraph" w:customStyle="1" w:styleId="95">
    <w:name w:val="样式1"/>
    <w:basedOn w:val="1"/>
    <w:qFormat/>
    <w:uiPriority w:val="0"/>
    <w:pPr>
      <w:spacing w:line="360" w:lineRule="auto"/>
      <w:jc w:val="center"/>
    </w:pPr>
    <w:rPr>
      <w:rFonts w:ascii="宋体" w:hAnsi="宋体"/>
      <w:sz w:val="32"/>
      <w:szCs w:val="30"/>
    </w:rPr>
  </w:style>
  <w:style w:type="paragraph" w:customStyle="1" w:styleId="96">
    <w:name w:val="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97">
    <w:name w:val="19"/>
    <w:basedOn w:val="1"/>
    <w:qFormat/>
    <w:uiPriority w:val="0"/>
    <w:pPr>
      <w:widowControl/>
      <w:snapToGrid w:val="0"/>
      <w:spacing w:before="100" w:beforeAutospacing="1" w:after="120" w:line="360" w:lineRule="atLeast"/>
      <w:jc w:val="left"/>
    </w:pPr>
    <w:rPr>
      <w:rFonts w:ascii="宋体" w:hAnsi="宋体"/>
      <w:kern w:val="0"/>
      <w:sz w:val="28"/>
      <w:szCs w:val="20"/>
    </w:rPr>
  </w:style>
  <w:style w:type="paragraph" w:customStyle="1" w:styleId="98">
    <w:name w:val="正文段"/>
    <w:basedOn w:val="1"/>
    <w:qFormat/>
    <w:uiPriority w:val="0"/>
    <w:pPr>
      <w:spacing w:line="360" w:lineRule="auto"/>
      <w:ind w:firstLine="420"/>
    </w:pPr>
    <w:rPr>
      <w:rFonts w:ascii="宋体" w:hAnsi="Times New Roman"/>
      <w:sz w:val="24"/>
      <w:szCs w:val="24"/>
    </w:rPr>
  </w:style>
  <w:style w:type="paragraph" w:customStyle="1" w:styleId="99">
    <w:name w:val="表格一"/>
    <w:basedOn w:val="1"/>
    <w:qFormat/>
    <w:uiPriority w:val="0"/>
    <w:pPr>
      <w:spacing w:line="240" w:lineRule="exact"/>
      <w:ind w:left="105" w:leftChars="50"/>
    </w:pPr>
    <w:rPr>
      <w:rFonts w:ascii="Times New Roman" w:hAnsi="Times New Roman"/>
      <w:sz w:val="18"/>
      <w:szCs w:val="21"/>
    </w:rPr>
  </w:style>
  <w:style w:type="paragraph" w:customStyle="1" w:styleId="100">
    <w:name w:val="样式 一号 加粗 居中"/>
    <w:basedOn w:val="1"/>
    <w:qFormat/>
    <w:uiPriority w:val="0"/>
    <w:pPr>
      <w:jc w:val="center"/>
    </w:pPr>
    <w:rPr>
      <w:rFonts w:ascii="Times New Roman" w:hAnsi="Times New Roman" w:cs="宋体"/>
      <w:bCs/>
      <w:sz w:val="52"/>
      <w:szCs w:val="20"/>
    </w:rPr>
  </w:style>
  <w:style w:type="paragraph" w:customStyle="1" w:styleId="101">
    <w:name w:val="Char 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102">
    <w:name w:val="z-窗体底端1"/>
    <w:basedOn w:val="1"/>
    <w:next w:val="1"/>
    <w:link w:val="104"/>
    <w:qFormat/>
    <w:uiPriority w:val="0"/>
    <w:pPr>
      <w:pBdr>
        <w:top w:val="single" w:color="auto" w:sz="6" w:space="1"/>
      </w:pBdr>
      <w:jc w:val="center"/>
    </w:pPr>
    <w:rPr>
      <w:rFonts w:ascii="Arial" w:hAnsi="Arial"/>
      <w:vanish/>
      <w:kern w:val="0"/>
      <w:sz w:val="16"/>
      <w:szCs w:val="16"/>
    </w:rPr>
  </w:style>
  <w:style w:type="character" w:customStyle="1" w:styleId="103">
    <w:name w:val="z-窗体底端 字符"/>
    <w:semiHidden/>
    <w:qFormat/>
    <w:uiPriority w:val="99"/>
    <w:rPr>
      <w:rFonts w:ascii="Arial" w:hAnsi="Arial" w:eastAsia="宋体" w:cs="Arial"/>
      <w:vanish/>
      <w:sz w:val="16"/>
      <w:szCs w:val="16"/>
    </w:rPr>
  </w:style>
  <w:style w:type="character" w:customStyle="1" w:styleId="104">
    <w:name w:val="z-窗体底端 Char"/>
    <w:link w:val="102"/>
    <w:qFormat/>
    <w:uiPriority w:val="0"/>
    <w:rPr>
      <w:rFonts w:ascii="Arial" w:hAnsi="Arial" w:eastAsia="宋体" w:cs="Times New Roman"/>
      <w:vanish/>
      <w:kern w:val="0"/>
      <w:sz w:val="16"/>
      <w:szCs w:val="16"/>
    </w:rPr>
  </w:style>
  <w:style w:type="character" w:customStyle="1" w:styleId="105">
    <w:name w:val="正文文本 字符"/>
    <w:basedOn w:val="46"/>
    <w:semiHidden/>
    <w:qFormat/>
    <w:uiPriority w:val="99"/>
    <w:rPr>
      <w:rFonts w:ascii="Calibri" w:hAnsi="Calibri" w:eastAsia="宋体" w:cs="Times New Roman"/>
    </w:rPr>
  </w:style>
  <w:style w:type="character" w:customStyle="1" w:styleId="106">
    <w:name w:val="正文文本 字符1"/>
    <w:link w:val="12"/>
    <w:qFormat/>
    <w:uiPriority w:val="0"/>
    <w:rPr>
      <w:rFonts w:ascii="Calibri" w:hAnsi="Calibri" w:eastAsia="宋体" w:cs="Times New Roman"/>
      <w:kern w:val="0"/>
      <w:sz w:val="20"/>
      <w:szCs w:val="20"/>
    </w:rPr>
  </w:style>
  <w:style w:type="character" w:customStyle="1" w:styleId="107">
    <w:name w:val="正文首行缩进 字符"/>
    <w:basedOn w:val="105"/>
    <w:semiHidden/>
    <w:qFormat/>
    <w:uiPriority w:val="99"/>
  </w:style>
  <w:style w:type="character" w:customStyle="1" w:styleId="108">
    <w:name w:val="正文首行缩进 字符1"/>
    <w:link w:val="11"/>
    <w:qFormat/>
    <w:uiPriority w:val="0"/>
    <w:rPr>
      <w:rFonts w:ascii="Times New Roman" w:hAnsi="Times New Roman" w:eastAsia="宋体" w:cs="Times New Roman"/>
      <w:szCs w:val="24"/>
    </w:rPr>
  </w:style>
  <w:style w:type="character" w:customStyle="1" w:styleId="109">
    <w:name w:val="批注框文本 字符"/>
    <w:semiHidden/>
    <w:qFormat/>
    <w:uiPriority w:val="99"/>
    <w:rPr>
      <w:rFonts w:ascii="Calibri" w:hAnsi="Calibri" w:eastAsia="宋体" w:cs="Times New Roman"/>
      <w:sz w:val="18"/>
      <w:szCs w:val="18"/>
    </w:rPr>
  </w:style>
  <w:style w:type="character" w:customStyle="1" w:styleId="110">
    <w:name w:val="批注框文本 字符1"/>
    <w:link w:val="26"/>
    <w:qFormat/>
    <w:uiPriority w:val="0"/>
    <w:rPr>
      <w:rFonts w:ascii="Times New Roman" w:hAnsi="Times New Roman" w:eastAsia="宋体" w:cs="Times New Roman"/>
      <w:kern w:val="0"/>
      <w:sz w:val="18"/>
      <w:szCs w:val="18"/>
    </w:rPr>
  </w:style>
  <w:style w:type="character" w:customStyle="1" w:styleId="111">
    <w:name w:val="脚注文本 字符"/>
    <w:semiHidden/>
    <w:qFormat/>
    <w:uiPriority w:val="99"/>
    <w:rPr>
      <w:rFonts w:ascii="Calibri" w:hAnsi="Calibri" w:eastAsia="宋体" w:cs="Times New Roman"/>
      <w:sz w:val="18"/>
      <w:szCs w:val="18"/>
    </w:rPr>
  </w:style>
  <w:style w:type="character" w:customStyle="1" w:styleId="112">
    <w:name w:val="脚注文本 字符1"/>
    <w:link w:val="33"/>
    <w:qFormat/>
    <w:uiPriority w:val="0"/>
    <w:rPr>
      <w:rFonts w:ascii="Times New Roman" w:hAnsi="Times New Roman" w:eastAsia="宋体" w:cs="Times New Roman"/>
      <w:kern w:val="0"/>
      <w:sz w:val="18"/>
      <w:szCs w:val="18"/>
    </w:rPr>
  </w:style>
  <w:style w:type="character" w:customStyle="1" w:styleId="113">
    <w:name w:val="纯文本 字符"/>
    <w:qFormat/>
    <w:uiPriority w:val="99"/>
    <w:rPr>
      <w:rFonts w:ascii="宋体" w:hAnsi="Courier New" w:eastAsia="宋体" w:cs="Courier New"/>
    </w:rPr>
  </w:style>
  <w:style w:type="character" w:customStyle="1" w:styleId="114">
    <w:name w:val="纯文本 字符1"/>
    <w:link w:val="21"/>
    <w:qFormat/>
    <w:uiPriority w:val="0"/>
    <w:rPr>
      <w:rFonts w:ascii="宋体" w:hAnsi="Courier New" w:eastAsia="宋体" w:cs="Times New Roman"/>
      <w:kern w:val="0"/>
      <w:sz w:val="20"/>
      <w:szCs w:val="21"/>
    </w:rPr>
  </w:style>
  <w:style w:type="paragraph" w:customStyle="1" w:styleId="115">
    <w:name w:val="Char1"/>
    <w:basedOn w:val="1"/>
    <w:qFormat/>
    <w:uiPriority w:val="0"/>
    <w:pPr>
      <w:widowControl/>
      <w:spacing w:after="160" w:line="240" w:lineRule="exact"/>
      <w:jc w:val="left"/>
    </w:pPr>
    <w:rPr>
      <w:rFonts w:ascii="Tahoma" w:hAnsi="Tahoma"/>
      <w:kern w:val="0"/>
      <w:sz w:val="24"/>
      <w:szCs w:val="24"/>
      <w:lang w:eastAsia="en-US"/>
    </w:rPr>
  </w:style>
  <w:style w:type="paragraph" w:customStyle="1" w:styleId="116">
    <w:name w:val="样式3"/>
    <w:basedOn w:val="4"/>
    <w:qFormat/>
    <w:uiPriority w:val="0"/>
    <w:pPr>
      <w:keepNext/>
      <w:keepLines/>
      <w:spacing w:before="120" w:after="120" w:line="360" w:lineRule="auto"/>
    </w:pPr>
    <w:rPr>
      <w:rFonts w:eastAsia="宋体"/>
      <w:sz w:val="24"/>
      <w:szCs w:val="24"/>
    </w:rPr>
  </w:style>
  <w:style w:type="paragraph" w:customStyle="1" w:styleId="117">
    <w:name w:val="表"/>
    <w:basedOn w:val="1"/>
    <w:qFormat/>
    <w:uiPriority w:val="0"/>
    <w:pPr>
      <w:spacing w:line="360" w:lineRule="auto"/>
      <w:jc w:val="center"/>
    </w:pPr>
    <w:rPr>
      <w:rFonts w:ascii="Times New Roman" w:hAnsi="Times New Roman"/>
      <w:color w:val="000000"/>
      <w:szCs w:val="21"/>
    </w:rPr>
  </w:style>
  <w:style w:type="character" w:customStyle="1" w:styleId="118">
    <w:name w:val="正文文本 2 字符"/>
    <w:basedOn w:val="46"/>
    <w:semiHidden/>
    <w:qFormat/>
    <w:uiPriority w:val="99"/>
    <w:rPr>
      <w:rFonts w:ascii="Calibri" w:hAnsi="Calibri" w:eastAsia="宋体" w:cs="Times New Roman"/>
    </w:rPr>
  </w:style>
  <w:style w:type="character" w:customStyle="1" w:styleId="119">
    <w:name w:val="正文文本 2 字符1"/>
    <w:link w:val="39"/>
    <w:qFormat/>
    <w:uiPriority w:val="0"/>
    <w:rPr>
      <w:rFonts w:ascii="Times New Roman" w:hAnsi="Times New Roman" w:eastAsia="宋体" w:cs="Times New Roman"/>
      <w:kern w:val="0"/>
      <w:sz w:val="20"/>
      <w:szCs w:val="24"/>
    </w:rPr>
  </w:style>
  <w:style w:type="character" w:customStyle="1" w:styleId="120">
    <w:name w:val="正文文本缩进 2 字符"/>
    <w:basedOn w:val="46"/>
    <w:semiHidden/>
    <w:qFormat/>
    <w:uiPriority w:val="99"/>
    <w:rPr>
      <w:rFonts w:ascii="Calibri" w:hAnsi="Calibri" w:eastAsia="宋体" w:cs="Times New Roman"/>
    </w:rPr>
  </w:style>
  <w:style w:type="character" w:customStyle="1" w:styleId="121">
    <w:name w:val="正文文本缩进 2 字符1"/>
    <w:link w:val="25"/>
    <w:qFormat/>
    <w:uiPriority w:val="0"/>
    <w:rPr>
      <w:rFonts w:ascii="Times New Roman" w:hAnsi="Times New Roman" w:eastAsia="宋体" w:cs="Times New Roman"/>
      <w:kern w:val="0"/>
      <w:sz w:val="20"/>
      <w:szCs w:val="24"/>
    </w:rPr>
  </w:style>
  <w:style w:type="character" w:customStyle="1" w:styleId="122">
    <w:name w:val="页脚 字符"/>
    <w:semiHidden/>
    <w:qFormat/>
    <w:uiPriority w:val="99"/>
    <w:rPr>
      <w:rFonts w:ascii="Calibri" w:hAnsi="Calibri" w:eastAsia="宋体" w:cs="Times New Roman"/>
      <w:sz w:val="18"/>
      <w:szCs w:val="18"/>
    </w:rPr>
  </w:style>
  <w:style w:type="character" w:customStyle="1" w:styleId="123">
    <w:name w:val="页脚 字符1"/>
    <w:link w:val="27"/>
    <w:qFormat/>
    <w:uiPriority w:val="99"/>
    <w:rPr>
      <w:rFonts w:ascii="Times New Roman" w:hAnsi="Times New Roman" w:eastAsia="宋体" w:cs="Times New Roman"/>
      <w:kern w:val="0"/>
      <w:sz w:val="18"/>
      <w:szCs w:val="18"/>
    </w:rPr>
  </w:style>
  <w:style w:type="paragraph" w:customStyle="1" w:styleId="124">
    <w:name w:val="列出段落1"/>
    <w:basedOn w:val="1"/>
    <w:qFormat/>
    <w:uiPriority w:val="0"/>
    <w:pPr>
      <w:spacing w:before="100" w:beforeAutospacing="1" w:after="100" w:afterAutospacing="1" w:line="300" w:lineRule="auto"/>
      <w:ind w:firstLine="420" w:firstLineChars="200"/>
    </w:pPr>
  </w:style>
  <w:style w:type="paragraph" w:customStyle="1" w:styleId="125">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lang w:val="en-US" w:eastAsia="zh-CN" w:bidi="ar-SA"/>
    </w:rPr>
  </w:style>
  <w:style w:type="paragraph" w:customStyle="1" w:styleId="126">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character" w:customStyle="1" w:styleId="127">
    <w:name w:val="样式 样式1 + 首行缩进:  2 字符 Char"/>
    <w:link w:val="128"/>
    <w:qFormat/>
    <w:uiPriority w:val="0"/>
    <w:rPr>
      <w:rFonts w:ascii="Arial" w:hAnsi="Arial" w:eastAsia="宋体" w:cs="Times New Roman"/>
      <w:kern w:val="0"/>
      <w:sz w:val="24"/>
      <w:szCs w:val="20"/>
    </w:rPr>
  </w:style>
  <w:style w:type="paragraph" w:customStyle="1" w:styleId="128">
    <w:name w:val="样式 样式1 + 首行缩进:  2 字符"/>
    <w:basedOn w:val="95"/>
    <w:link w:val="127"/>
    <w:qFormat/>
    <w:uiPriority w:val="0"/>
    <w:pPr>
      <w:spacing w:line="360" w:lineRule="exact"/>
      <w:ind w:firstLine="420" w:firstLineChars="200"/>
      <w:jc w:val="both"/>
    </w:pPr>
    <w:rPr>
      <w:rFonts w:ascii="Arial" w:hAnsi="Arial"/>
      <w:kern w:val="0"/>
      <w:sz w:val="24"/>
      <w:szCs w:val="20"/>
    </w:rPr>
  </w:style>
  <w:style w:type="paragraph" w:customStyle="1" w:styleId="129">
    <w:name w:val="样式 标题 1 + (符号) Arial 三号"/>
    <w:basedOn w:val="2"/>
    <w:qFormat/>
    <w:uiPriority w:val="0"/>
    <w:pPr>
      <w:snapToGrid w:val="0"/>
      <w:spacing w:before="0" w:after="0" w:line="360" w:lineRule="auto"/>
    </w:pPr>
    <w:rPr>
      <w:sz w:val="32"/>
    </w:rPr>
  </w:style>
  <w:style w:type="paragraph" w:customStyle="1" w:styleId="130">
    <w:name w:val="列出段落11"/>
    <w:basedOn w:val="1"/>
    <w:qFormat/>
    <w:uiPriority w:val="0"/>
    <w:pPr>
      <w:ind w:firstLine="420" w:firstLineChars="200"/>
    </w:pPr>
  </w:style>
  <w:style w:type="character" w:customStyle="1" w:styleId="131">
    <w:name w:val="Char Char14"/>
    <w:qFormat/>
    <w:uiPriority w:val="0"/>
    <w:rPr>
      <w:rFonts w:ascii="宋体" w:hAnsi="Courier New" w:eastAsia="宋体" w:cs="Courier New"/>
      <w:kern w:val="2"/>
      <w:sz w:val="21"/>
      <w:szCs w:val="21"/>
      <w:lang w:val="en-US" w:eastAsia="zh-CN" w:bidi="ar-SA"/>
    </w:rPr>
  </w:style>
  <w:style w:type="paragraph" w:customStyle="1" w:styleId="132">
    <w:name w:val="_Style 5"/>
    <w:basedOn w:val="1"/>
    <w:next w:val="1"/>
    <w:qFormat/>
    <w:uiPriority w:val="0"/>
    <w:rPr>
      <w:rFonts w:ascii="Times New Roman" w:hAnsi="Times New Roman"/>
      <w:szCs w:val="20"/>
    </w:rPr>
  </w:style>
  <w:style w:type="paragraph" w:customStyle="1" w:styleId="133">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4">
    <w:name w:val="!机场正文"/>
    <w:basedOn w:val="1"/>
    <w:qFormat/>
    <w:uiPriority w:val="0"/>
    <w:pPr>
      <w:spacing w:line="560" w:lineRule="exact"/>
      <w:ind w:firstLine="200" w:firstLineChars="200"/>
    </w:pPr>
    <w:rPr>
      <w:rFonts w:ascii="仿宋_GB2312" w:hAnsi="仿宋_GB2312" w:eastAsia="仿宋_GB2312"/>
      <w:sz w:val="32"/>
    </w:rPr>
  </w:style>
  <w:style w:type="character" w:customStyle="1" w:styleId="135">
    <w:name w:val="正文缩进 字符"/>
    <w:link w:val="13"/>
    <w:qFormat/>
    <w:uiPriority w:val="0"/>
    <w:rPr>
      <w:rFonts w:ascii="宋体" w:hAnsi="Times New Roman" w:eastAsia="宋体" w:cs="Times New Roman"/>
      <w:kern w:val="0"/>
      <w:sz w:val="34"/>
      <w:szCs w:val="20"/>
    </w:rPr>
  </w:style>
  <w:style w:type="character" w:customStyle="1" w:styleId="136">
    <w:name w:val="批注主题 字符"/>
    <w:basedOn w:val="137"/>
    <w:link w:val="8"/>
    <w:semiHidden/>
    <w:qFormat/>
    <w:uiPriority w:val="0"/>
    <w:rPr>
      <w:rFonts w:ascii="Times New Roman" w:hAnsi="Times New Roman"/>
      <w:b/>
      <w:bCs/>
      <w:kern w:val="0"/>
      <w:sz w:val="20"/>
      <w:szCs w:val="24"/>
    </w:rPr>
  </w:style>
  <w:style w:type="character" w:customStyle="1" w:styleId="137">
    <w:name w:val="批注文字 字符"/>
    <w:basedOn w:val="46"/>
    <w:link w:val="9"/>
    <w:semiHidden/>
    <w:qFormat/>
    <w:uiPriority w:val="99"/>
    <w:rPr>
      <w:rFonts w:ascii="Calibri" w:hAnsi="Calibri" w:eastAsia="宋体" w:cs="Times New Roman"/>
    </w:rPr>
  </w:style>
  <w:style w:type="character" w:customStyle="1" w:styleId="138">
    <w:name w:val="批注主题 Char1"/>
    <w:basedOn w:val="137"/>
    <w:semiHidden/>
    <w:qFormat/>
    <w:uiPriority w:val="99"/>
    <w:rPr>
      <w:b/>
      <w:bCs/>
      <w:kern w:val="2"/>
      <w:sz w:val="21"/>
      <w:szCs w:val="22"/>
    </w:rPr>
  </w:style>
  <w:style w:type="paragraph" w:customStyle="1" w:styleId="139">
    <w:name w:val="无间隔1"/>
    <w:qFormat/>
    <w:uiPriority w:val="0"/>
    <w:pPr>
      <w:widowControl w:val="0"/>
      <w:suppressAutoHyphens/>
      <w:jc w:val="both"/>
    </w:pPr>
    <w:rPr>
      <w:rFonts w:ascii="Calibri" w:hAnsi="Calibri" w:eastAsia="宋体;SimSun" w:cs="Times New Roman"/>
      <w:kern w:val="2"/>
      <w:sz w:val="21"/>
      <w:szCs w:val="22"/>
      <w:lang w:val="en-US" w:eastAsia="zh-CN" w:bidi="ar-SA"/>
    </w:rPr>
  </w:style>
  <w:style w:type="paragraph" w:customStyle="1" w:styleId="140">
    <w:name w:val="小正文"/>
    <w:basedOn w:val="85"/>
    <w:link w:val="143"/>
    <w:qFormat/>
    <w:uiPriority w:val="0"/>
    <w:pPr>
      <w:suppressAutoHyphens/>
      <w:spacing w:before="260" w:after="260" w:line="560" w:lineRule="exact"/>
      <w:ind w:firstLine="560"/>
      <w:jc w:val="left"/>
    </w:pPr>
    <w:rPr>
      <w:rFonts w:ascii="仿宋_GB2312;微软雅黑" w:hAnsi="仿宋_GB2312;微软雅黑" w:eastAsia="仿宋_GB2312;微软雅黑"/>
      <w:sz w:val="28"/>
      <w:szCs w:val="28"/>
      <w:lang w:val="en-US"/>
    </w:rPr>
  </w:style>
  <w:style w:type="paragraph" w:customStyle="1" w:styleId="141">
    <w:name w:val="表格样式 5"/>
    <w:qFormat/>
    <w:uiPriority w:val="0"/>
    <w:pPr>
      <w:suppressAutoHyphens/>
      <w:jc w:val="center"/>
    </w:pPr>
    <w:rPr>
      <w:rFonts w:ascii="Songti SC Bold;Times New Roman" w:hAnsi="Songti SC Bold;Times New Roman" w:eastAsia="Songti SC Bold;Times New Roman" w:cs="Songti SC Bold;Times New Roman"/>
      <w:color w:val="000000"/>
      <w:sz w:val="21"/>
      <w:szCs w:val="21"/>
      <w:lang w:val="en-US" w:eastAsia="zh-CN" w:bidi="ar-SA"/>
    </w:rPr>
  </w:style>
  <w:style w:type="paragraph" w:customStyle="1" w:styleId="142">
    <w:name w:val="修订1"/>
    <w:hidden/>
    <w:unhideWhenUsed/>
    <w:qFormat/>
    <w:uiPriority w:val="99"/>
    <w:rPr>
      <w:rFonts w:ascii="Calibri" w:hAnsi="Calibri" w:eastAsia="宋体" w:cs="Times New Roman"/>
      <w:kern w:val="2"/>
      <w:sz w:val="21"/>
      <w:szCs w:val="22"/>
      <w:lang w:val="en-US" w:eastAsia="zh-CN" w:bidi="ar-SA"/>
    </w:rPr>
  </w:style>
  <w:style w:type="character" w:customStyle="1" w:styleId="143">
    <w:name w:val="小正文 Char"/>
    <w:link w:val="140"/>
    <w:qFormat/>
    <w:uiPriority w:val="0"/>
    <w:rPr>
      <w:rFonts w:ascii="仿宋_GB2312;微软雅黑" w:hAnsi="仿宋_GB2312;微软雅黑" w:eastAsia="仿宋_GB2312;微软雅黑" w:cs="Times New Roman"/>
      <w:sz w:val="28"/>
      <w:szCs w:val="28"/>
      <w:lang w:val="en-US"/>
    </w:rPr>
  </w:style>
  <w:style w:type="paragraph" w:customStyle="1" w:styleId="144">
    <w:name w:val="修订2"/>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47</Pages>
  <Words>4500</Words>
  <Characters>25650</Characters>
  <Lines>213</Lines>
  <Paragraphs>60</Paragraphs>
  <ScaleCrop>false</ScaleCrop>
  <LinksUpToDate>false</LinksUpToDate>
  <CharactersWithSpaces>30090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2016-04-22T09:37:00Z</dcterms:created>
  <dc:creator>徐海波</dc:creator>
  <cp:lastModifiedBy>张文娴</cp:lastModifiedBy>
  <cp:lastPrinted>2015-11-30T02:50:00Z</cp:lastPrinted>
  <dcterms:modified xsi:type="dcterms:W3CDTF">2019-12-25T09:36:12Z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