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杭州萧山国际机场航站楼环境景观</w:t>
      </w:r>
    </w:p>
    <w:p>
      <w:pPr>
        <w:spacing w:before="48" w:beforeLines="20" w:after="48" w:afterLines="20" w:line="360" w:lineRule="auto"/>
        <w:ind w:firstLine="99" w:firstLineChars="19"/>
        <w:jc w:val="center"/>
        <w:rPr>
          <w:rFonts w:ascii="黑体" w:hAnsi="黑体" w:eastAsia="黑体"/>
          <w:b/>
          <w:bCs/>
          <w:sz w:val="52"/>
          <w:szCs w:val="52"/>
        </w:rPr>
      </w:pPr>
      <w:r>
        <w:rPr>
          <w:rFonts w:hint="eastAsia" w:ascii="黑体" w:hAnsi="黑体" w:eastAsia="黑体"/>
          <w:b/>
          <w:bCs/>
          <w:sz w:val="52"/>
          <w:szCs w:val="52"/>
        </w:rPr>
        <w:t>绿化综合项目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二Ο二Ο年三月</w:t>
      </w:r>
    </w:p>
    <w:p>
      <w:pPr>
        <w:spacing w:line="936" w:lineRule="exact"/>
        <w:jc w:val="center"/>
        <w:rPr>
          <w:rFonts w:ascii="Meiryo" w:hAnsi="Meiryo" w:eastAsia="Meiryo" w:cs="Meiryo"/>
          <w:sz w:val="52"/>
          <w:szCs w:val="52"/>
        </w:rPr>
        <w:sectPr>
          <w:footerReference r:id="rId3" w:type="default"/>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19698493"/>
      <w:bookmarkStart w:id="2" w:name="_Toc525202077"/>
      <w:bookmarkStart w:id="3" w:name="_Toc525132432"/>
      <w:r>
        <w:rPr>
          <w:rStyle w:val="95"/>
          <w:rFonts w:hint="eastAsia"/>
        </w:rPr>
        <w:t>目</w:t>
      </w:r>
      <w:r>
        <w:rPr>
          <w:rStyle w:val="95"/>
        </w:rPr>
        <w:t xml:space="preserve"> </w:t>
      </w:r>
      <w:r>
        <w:rPr>
          <w:rStyle w:val="95"/>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86"/>
          <w:rFonts w:ascii="宋体" w:hAnsi="宋体"/>
          <w:sz w:val="22"/>
        </w:rPr>
        <w:t>第一章</w:t>
      </w:r>
      <w:r>
        <w:rPr>
          <w:rStyle w:val="86"/>
          <w:rFonts w:hint="eastAsia" w:ascii="宋体" w:hAnsi="宋体"/>
          <w:sz w:val="22"/>
        </w:rPr>
        <w:t xml:space="preserve">  </w:t>
      </w:r>
      <w:r>
        <w:rPr>
          <w:rStyle w:val="8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86"/>
          <w:rFonts w:ascii="宋体" w:hAnsi="宋体"/>
          <w:sz w:val="22"/>
        </w:rPr>
        <w:t>第二章</w:t>
      </w:r>
      <w:r>
        <w:rPr>
          <w:rStyle w:val="86"/>
          <w:rFonts w:hint="eastAsia" w:ascii="宋体" w:hAnsi="宋体"/>
          <w:sz w:val="22"/>
        </w:rPr>
        <w:t xml:space="preserve">  </w:t>
      </w:r>
      <w:r>
        <w:rPr>
          <w:rStyle w:val="8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8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8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8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54</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8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4"/>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6"/>
        <w:spacing w:before="70"/>
        <w:ind w:right="157" w:firstLine="422"/>
        <w:rPr>
          <w:rFonts w:ascii="黑体" w:hAnsi="黑体" w:eastAsia="黑体"/>
          <w:b w:val="0"/>
          <w:bCs w:val="0"/>
        </w:rPr>
      </w:pPr>
      <w:bookmarkStart w:id="5" w:name="_bookmark2"/>
      <w:bookmarkEnd w:id="5"/>
      <w:bookmarkStart w:id="39" w:name="_GoBack"/>
      <w:r>
        <w:rPr>
          <w:rFonts w:ascii="黑体" w:hAnsi="黑体" w:eastAsia="黑体"/>
        </w:rPr>
        <w:t>1.招标条件</w:t>
      </w:r>
    </w:p>
    <w:p>
      <w:pPr>
        <w:pStyle w:val="3"/>
        <w:tabs>
          <w:tab w:val="left" w:pos="2388"/>
          <w:tab w:val="left" w:pos="2832"/>
          <w:tab w:val="left" w:pos="3472"/>
          <w:tab w:val="left" w:pos="6667"/>
          <w:tab w:val="left" w:pos="7270"/>
        </w:tabs>
        <w:spacing w:line="348" w:lineRule="auto"/>
        <w:ind w:right="153" w:firstLine="419"/>
        <w:rPr>
          <w:rFonts w:ascii="宋体" w:hAnsi="宋体" w:cs="宋体"/>
          <w:sz w:val="12"/>
          <w:szCs w:val="12"/>
        </w:rPr>
      </w:pPr>
      <w:r>
        <w:rPr>
          <w:rFonts w:hint="eastAsia" w:ascii="宋体" w:hAnsi="宋体" w:cs="宋体"/>
        </w:rPr>
        <w:t>杭州萧山国际机场</w:t>
      </w:r>
      <w:r>
        <w:rPr>
          <w:rStyle w:val="87"/>
          <w:rFonts w:hint="eastAsia"/>
        </w:rPr>
        <w:t>航站楼环境景观绿化综合项目</w:t>
      </w:r>
      <w:r>
        <w:rPr>
          <w:spacing w:val="-1"/>
        </w:rPr>
        <w:t>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u w:val="single" w:color="000000"/>
        </w:rPr>
        <w:t>100%</w:t>
      </w:r>
      <w:r>
        <w:rPr>
          <w:spacing w:val="-4"/>
        </w:rPr>
        <w:t>。该项目已具备招标条</w:t>
      </w:r>
      <w:r>
        <w:rPr>
          <w:spacing w:val="-92"/>
        </w:rPr>
        <w:t xml:space="preserve"> </w:t>
      </w:r>
      <w:r>
        <w:rPr>
          <w:spacing w:val="-1"/>
        </w:rPr>
        <w:t>件，现对</w:t>
      </w:r>
      <w:r>
        <w:rPr>
          <w:rFonts w:hint="eastAsia"/>
          <w:spacing w:val="-1"/>
        </w:rPr>
        <w:t>本项目</w:t>
      </w:r>
      <w:r>
        <w:rPr>
          <w:spacing w:val="-2"/>
        </w:rPr>
        <w:t>进行公开招标。</w:t>
      </w:r>
    </w:p>
    <w:p>
      <w:pPr>
        <w:pStyle w:val="6"/>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3"/>
        <w:tabs>
          <w:tab w:val="left" w:pos="2388"/>
          <w:tab w:val="left" w:pos="2832"/>
          <w:tab w:val="left" w:pos="3472"/>
          <w:tab w:val="left" w:pos="6667"/>
          <w:tab w:val="left" w:pos="7270"/>
        </w:tabs>
        <w:spacing w:before="120" w:beforeLines="50" w:line="348" w:lineRule="auto"/>
        <w:ind w:right="153" w:firstLine="420" w:firstLineChars="200"/>
      </w:pPr>
      <w:r>
        <w:t>2.1</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本</w:t>
      </w:r>
      <w:r>
        <w:rPr>
          <w:rFonts w:hint="eastAsia"/>
          <w:spacing w:val="-1"/>
        </w:rPr>
        <w:t>项目位于杭州萧山国际机场航站楼，具体要求详见第五章。</w:t>
      </w:r>
    </w:p>
    <w:p>
      <w:pPr>
        <w:widowControl/>
        <w:adjustRightInd w:val="0"/>
        <w:snapToGrid w:val="0"/>
        <w:spacing w:line="360" w:lineRule="auto"/>
        <w:ind w:firstLine="420" w:firstLineChars="200"/>
      </w:pPr>
      <w:r>
        <w:rPr>
          <w:rFonts w:hint="eastAsia"/>
        </w:rPr>
        <w:t>2</w:t>
      </w:r>
      <w:r>
        <w:t>.2</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招标内</w:t>
      </w:r>
      <w:r>
        <w:rPr>
          <w:rFonts w:hint="eastAsia"/>
          <w:spacing w:val="-1"/>
          <w:szCs w:val="24"/>
        </w:rPr>
        <w:t>容：主要为航站楼（包含</w:t>
      </w:r>
      <w:r>
        <w:rPr>
          <w:rFonts w:hint="eastAsia"/>
        </w:rPr>
        <w:t>T</w:t>
      </w:r>
      <w:r>
        <w:t>1/T2/T3</w:t>
      </w:r>
      <w:r>
        <w:rPr>
          <w:rFonts w:hint="eastAsia"/>
          <w:spacing w:val="-1"/>
          <w:szCs w:val="24"/>
        </w:rPr>
        <w:t>）绿化景观（含花器，花器是否甲供详见清单）布置、高架桥（上下）植物摆放、航站楼重点位置（含问询柜台、安检柜台等）高档时花摆放、航站楼固定花堆布置不少于8处、航站楼节假日花堆布置不少于11处（含五一、国庆、元旦、春节，其中每年的养护期五一、国庆、元旦周期按30日历天计算，春节按60日历天计算）和所涉及设施及附属物的保洁及维护。航站楼内机场公司重大活动(每年不少于2次)绿化布置、甲供花器养护服务、T1航站楼内庭院日常养护服务。</w:t>
      </w:r>
    </w:p>
    <w:p>
      <w:pPr>
        <w:widowControl/>
        <w:adjustRightInd w:val="0"/>
        <w:snapToGrid w:val="0"/>
        <w:spacing w:line="360" w:lineRule="auto"/>
        <w:ind w:firstLine="420" w:firstLineChars="200"/>
        <w:rPr>
          <w:spacing w:val="-1"/>
          <w:szCs w:val="24"/>
        </w:rPr>
      </w:pPr>
      <w:r>
        <w:rPr>
          <w:rFonts w:hint="eastAsia"/>
        </w:rPr>
        <w:t>2</w:t>
      </w:r>
      <w:r>
        <w:t>.3</w:t>
      </w:r>
      <w:r>
        <w:rPr>
          <w:rFonts w:ascii="Times New Roman" w:hAnsi="Times New Roman" w:eastAsia="Times New Roman"/>
        </w:rPr>
        <w:t xml:space="preserve"> </w:t>
      </w:r>
      <w:r>
        <w:rPr>
          <w:rFonts w:ascii="Times New Roman" w:hAnsi="Times New Roman" w:eastAsia="Times New Roman"/>
          <w:spacing w:val="22"/>
        </w:rPr>
        <w:t xml:space="preserve"> </w:t>
      </w:r>
      <w:r>
        <w:rPr>
          <w:rFonts w:hint="eastAsia"/>
        </w:rPr>
        <w:t>服务期：</w:t>
      </w:r>
      <w:r>
        <w:rPr>
          <w:rFonts w:hint="eastAsia"/>
          <w:spacing w:val="-1"/>
          <w:szCs w:val="24"/>
        </w:rPr>
        <w:t>2020年5月1日至2021年4月30日。其中T3到达夹层花堆摆放从2020年6月1日开始至2021年4月30日结束。</w:t>
      </w:r>
    </w:p>
    <w:p>
      <w:pPr>
        <w:pStyle w:val="6"/>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3"/>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3"/>
        <w:tabs>
          <w:tab w:val="left" w:pos="4394"/>
          <w:tab w:val="left" w:pos="5990"/>
        </w:tabs>
        <w:spacing w:line="331" w:lineRule="auto"/>
        <w:ind w:right="157" w:firstLine="419"/>
        <w:rPr>
          <w:rFonts w:cs="宋体"/>
        </w:rPr>
      </w:pPr>
      <w:r>
        <w:rPr>
          <w:rFonts w:hint="eastAsia" w:cs="宋体"/>
        </w:rPr>
        <w:t>① 具有独立法人资格，持有有效营业执照，经营范围须包含花卉苗木租赁、园林绿化等类似内容。注册资金不少于人民币500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③ 近年（2016年1月1日起至投标截止日止）无行贿犯罪记录(通过中国裁判文书网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3"/>
        <w:tabs>
          <w:tab w:val="left" w:pos="4394"/>
          <w:tab w:val="left" w:pos="5990"/>
        </w:tabs>
        <w:spacing w:line="331" w:lineRule="auto"/>
        <w:ind w:right="157" w:firstLine="419"/>
        <w:rPr>
          <w:spacing w:val="6"/>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3"/>
        <w:tabs>
          <w:tab w:val="left" w:pos="4394"/>
          <w:tab w:val="left" w:pos="5990"/>
        </w:tabs>
        <w:spacing w:line="331" w:lineRule="auto"/>
        <w:ind w:right="157" w:firstLine="419"/>
        <w:rPr>
          <w:rFonts w:ascii="宋体" w:hAnsi="宋体" w:cs="宋体"/>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6"/>
        <w:spacing w:before="70"/>
        <w:ind w:right="157" w:firstLine="422"/>
        <w:rPr>
          <w:rFonts w:ascii="黑体" w:hAnsi="黑体" w:eastAsia="黑体"/>
        </w:rPr>
      </w:pPr>
      <w:bookmarkStart w:id="8" w:name="_bookmark5"/>
      <w:bookmarkEnd w:id="8"/>
      <w:r>
        <w:rPr>
          <w:rFonts w:ascii="黑体" w:hAnsi="黑体" w:eastAsia="黑体"/>
        </w:rPr>
        <w:t>4.招标文件的获取</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凡符合资格条件并有投标意向的潜在投标人，请通过杭州萧山国际机场有限公司主页招投标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t xml:space="preserve"> </w:t>
      </w:r>
      <w:r>
        <w:rPr>
          <w:rFonts w:hint="eastAsia" w:cs="宋体"/>
        </w:rPr>
        <w:t>自行下载招标文件。</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6"/>
        <w:spacing w:before="70"/>
        <w:ind w:right="157" w:firstLine="422"/>
        <w:rPr>
          <w:rFonts w:ascii="黑体" w:hAnsi="黑体" w:eastAsia="黑体"/>
        </w:rPr>
      </w:pPr>
      <w:bookmarkStart w:id="9" w:name="_bookmark6"/>
      <w:bookmarkEnd w:id="9"/>
      <w:r>
        <w:rPr>
          <w:rFonts w:ascii="黑体" w:hAnsi="黑体" w:eastAsia="黑体"/>
        </w:rPr>
        <w:t>5.投标文件的递交</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w:t>
      </w:r>
      <w:r>
        <w:rPr>
          <w:rFonts w:hint="eastAsia" w:ascii="Times New Roman" w:hAnsi="Times New Roman"/>
        </w:rPr>
        <w:t>20</w:t>
      </w:r>
      <w:r>
        <w:rPr>
          <w:rFonts w:hint="eastAsia" w:cs="宋体"/>
        </w:rPr>
        <w:t>年</w:t>
      </w:r>
      <w:r>
        <w:rPr>
          <w:rFonts w:hint="eastAsia" w:ascii="Times New Roman" w:hAnsi="Times New Roman"/>
          <w:lang w:val="en-US" w:eastAsia="zh-CN"/>
        </w:rPr>
        <w:t>4</w:t>
      </w:r>
      <w:r>
        <w:rPr>
          <w:rFonts w:hint="eastAsia" w:cs="宋体"/>
        </w:rPr>
        <w:t>月</w:t>
      </w:r>
      <w:r>
        <w:rPr>
          <w:rFonts w:hint="eastAsia" w:cs="宋体"/>
          <w:lang w:val="en-US" w:eastAsia="zh-CN"/>
        </w:rPr>
        <w:t>29</w:t>
      </w:r>
      <w:r>
        <w:rPr>
          <w:rFonts w:hint="eastAsia" w:cs="宋体"/>
        </w:rPr>
        <w:t>日</w:t>
      </w:r>
      <w:r>
        <w:rPr>
          <w:rFonts w:hint="eastAsia" w:ascii="Times New Roman" w:hAnsi="Times New Roman"/>
          <w:lang w:val="en-US" w:eastAsia="zh-CN"/>
        </w:rPr>
        <w:t>9</w:t>
      </w:r>
      <w:r>
        <w:rPr>
          <w:rFonts w:hint="eastAsia" w:cs="宋体"/>
        </w:rPr>
        <w:t>时</w:t>
      </w:r>
      <w:r>
        <w:rPr>
          <w:rFonts w:hint="eastAsia" w:cs="宋体"/>
          <w:lang w:val="en-US" w:eastAsia="zh-CN"/>
        </w:rPr>
        <w:t>00</w:t>
      </w:r>
      <w:r>
        <w:rPr>
          <w:rFonts w:hint="eastAsia" w:cs="宋体"/>
        </w:rPr>
        <w:t>分，投标文件在封口处加盖公章，派专人于</w:t>
      </w:r>
      <w:r>
        <w:rPr>
          <w:rFonts w:ascii="Times New Roman" w:hAnsi="Times New Roman" w:eastAsia="Times New Roman"/>
        </w:rPr>
        <w:t>20</w:t>
      </w:r>
      <w:r>
        <w:rPr>
          <w:rFonts w:hint="eastAsia" w:ascii="Times New Roman" w:hAnsi="Times New Roman"/>
        </w:rPr>
        <w:t>20</w:t>
      </w:r>
      <w:r>
        <w:rPr>
          <w:rFonts w:hint="eastAsia" w:cs="宋体"/>
        </w:rPr>
        <w:t>年</w:t>
      </w:r>
      <w:r>
        <w:rPr>
          <w:rFonts w:hint="eastAsia" w:ascii="Times New Roman" w:hAnsi="Times New Roman"/>
          <w:lang w:val="en-US" w:eastAsia="zh-CN"/>
        </w:rPr>
        <w:t>4</w:t>
      </w:r>
      <w:r>
        <w:rPr>
          <w:rFonts w:hint="eastAsia" w:cs="宋体"/>
        </w:rPr>
        <w:t>月</w:t>
      </w:r>
      <w:r>
        <w:rPr>
          <w:rFonts w:hint="eastAsia" w:cs="宋体"/>
          <w:lang w:val="en-US" w:eastAsia="zh-CN"/>
        </w:rPr>
        <w:t>29</w:t>
      </w:r>
      <w:r>
        <w:rPr>
          <w:rFonts w:hint="eastAsia" w:cs="宋体"/>
        </w:rPr>
        <w:t>日</w:t>
      </w:r>
      <w:r>
        <w:rPr>
          <w:rFonts w:hint="eastAsia" w:ascii="Times New Roman" w:hAnsi="Times New Roman"/>
          <w:lang w:val="en-US" w:eastAsia="zh-CN"/>
        </w:rPr>
        <w:t>9</w:t>
      </w:r>
      <w:r>
        <w:rPr>
          <w:rFonts w:hint="eastAsia" w:cs="宋体"/>
        </w:rPr>
        <w:t>时</w:t>
      </w:r>
      <w:r>
        <w:rPr>
          <w:rFonts w:hint="eastAsia" w:cs="宋体"/>
          <w:lang w:val="en-US" w:eastAsia="zh-CN"/>
        </w:rPr>
        <w:t>00</w:t>
      </w:r>
      <w:r>
        <w:rPr>
          <w:rFonts w:hint="eastAsia" w:cs="宋体"/>
        </w:rPr>
        <w:t>分（北京时间）前送至杭州萧山国际机场翔越路综合服务楼园区招标中心，逾期无效；若采用投递（邮寄）方式的，请于</w:t>
      </w:r>
      <w:r>
        <w:rPr>
          <w:rFonts w:ascii="Times New Roman" w:hAnsi="Times New Roman" w:eastAsia="Times New Roman"/>
        </w:rPr>
        <w:t>20</w:t>
      </w:r>
      <w:r>
        <w:rPr>
          <w:rFonts w:hint="eastAsia" w:ascii="Times New Roman" w:hAnsi="Times New Roman"/>
        </w:rPr>
        <w:t>20</w:t>
      </w:r>
      <w:r>
        <w:rPr>
          <w:rFonts w:hint="eastAsia" w:cs="宋体"/>
        </w:rPr>
        <w:t>年</w:t>
      </w:r>
      <w:r>
        <w:rPr>
          <w:rFonts w:hint="eastAsia" w:ascii="Times New Roman" w:hAnsi="Times New Roman"/>
          <w:lang w:val="en-US" w:eastAsia="zh-CN"/>
        </w:rPr>
        <w:t>4</w:t>
      </w:r>
      <w:r>
        <w:rPr>
          <w:rFonts w:hint="eastAsia" w:cs="宋体"/>
        </w:rPr>
        <w:t>月</w:t>
      </w:r>
      <w:r>
        <w:rPr>
          <w:rFonts w:hint="eastAsia" w:cs="宋体"/>
          <w:lang w:val="en-US" w:eastAsia="zh-CN"/>
        </w:rPr>
        <w:t>29</w:t>
      </w:r>
      <w:r>
        <w:rPr>
          <w:rFonts w:hint="eastAsia" w:cs="宋体"/>
        </w:rPr>
        <w:t>日</w:t>
      </w:r>
      <w:r>
        <w:rPr>
          <w:rFonts w:hint="eastAsia" w:ascii="Times New Roman" w:hAnsi="Times New Roman"/>
          <w:lang w:val="en-US" w:eastAsia="zh-CN"/>
        </w:rPr>
        <w:t>9</w:t>
      </w:r>
      <w:r>
        <w:rPr>
          <w:rFonts w:hint="eastAsia" w:cs="宋体"/>
        </w:rPr>
        <w:t>时</w:t>
      </w:r>
      <w:r>
        <w:rPr>
          <w:rFonts w:hint="eastAsia" w:cs="宋体"/>
          <w:lang w:val="en-US" w:eastAsia="zh-CN"/>
        </w:rPr>
        <w:t>00</w:t>
      </w:r>
      <w:r>
        <w:rPr>
          <w:rFonts w:hint="eastAsia" w:cs="宋体"/>
        </w:rPr>
        <w:t>分（北京时间）前投递至杭州萧山国际机场翔越路综合服务楼园区招标中心，逾期无效。</w:t>
      </w:r>
    </w:p>
    <w:p>
      <w:pPr>
        <w:pStyle w:val="3"/>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6"/>
        <w:spacing w:before="70"/>
        <w:ind w:right="157" w:firstLine="422"/>
        <w:rPr>
          <w:rFonts w:ascii="黑体" w:hAnsi="黑体" w:eastAsia="黑体"/>
        </w:rPr>
      </w:pPr>
      <w:bookmarkStart w:id="10" w:name="_bookmark7"/>
      <w:bookmarkEnd w:id="10"/>
      <w:r>
        <w:rPr>
          <w:rFonts w:ascii="黑体" w:hAnsi="黑体" w:eastAsia="黑体"/>
        </w:rPr>
        <w:t>6.发布公告的媒介</w:t>
      </w:r>
    </w:p>
    <w:p>
      <w:pPr>
        <w:pStyle w:val="3"/>
        <w:tabs>
          <w:tab w:val="left" w:pos="4394"/>
          <w:tab w:val="left" w:pos="5990"/>
        </w:tabs>
        <w:spacing w:line="328" w:lineRule="auto"/>
        <w:ind w:right="157" w:firstLine="419"/>
        <w:rPr>
          <w:rFonts w:cs="宋体"/>
        </w:rPr>
      </w:pPr>
      <w:bookmarkStart w:id="11" w:name="_bookmark8"/>
      <w:bookmarkEnd w:id="11"/>
      <w:r>
        <w:rPr>
          <w:rFonts w:hint="eastAsia" w:cs="宋体"/>
        </w:rPr>
        <w:t>本次招标公告在在浙江省机场集团有限公司和杭州萧山国际机场有限公司主页等媒介上发布，相关媒介如下：</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ascii="Times New Roman" w:hAnsi="Times New Roman" w:eastAsia="Times New Roman"/>
        </w:rPr>
        <w:t xml:space="preserve"> http://www.zjsairport.com</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杭州萧山国际机场有限公司主页：</w:t>
      </w:r>
      <w:r>
        <w:rPr>
          <w:rFonts w:ascii="Times New Roman" w:hAnsi="Times New Roman" w:eastAsia="Times New Roman"/>
        </w:rPr>
        <w:t>http://www.hzairport.com</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ascii="Times New Roman" w:hAnsi="Times New Roman" w:eastAsia="Times New Roman"/>
        </w:rPr>
        <w:t xml:space="preserve"> http://zfcg.czt.zj.gov.cn</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 xml:space="preserve">6.4 </w:t>
      </w:r>
      <w:r>
        <w:rPr>
          <w:rFonts w:hint="eastAsia" w:ascii="宋体" w:hAnsi="宋体" w:cs="宋体"/>
        </w:rPr>
        <w:t>浙江政务服务网</w:t>
      </w:r>
      <w:r>
        <w:rPr>
          <w:rFonts w:ascii="Times New Roman" w:hAnsi="Times New Roman" w:eastAsia="Times New Roman"/>
        </w:rPr>
        <w:t>http://zjpubservice.zjzwfw.gov.cn</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ascii="Times New Roman" w:hAnsi="Times New Roman" w:eastAsia="Times New Roman"/>
        </w:rPr>
        <w:t xml:space="preserve"> https://b.zhengcaiyun.cn</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ascii="Times New Roman" w:hAnsi="Times New Roman" w:eastAsia="Times New Roman"/>
        </w:rPr>
        <w:t>http://www.chinabidding.com.cn</w:t>
      </w:r>
    </w:p>
    <w:p>
      <w:pPr>
        <w:pStyle w:val="3"/>
        <w:tabs>
          <w:tab w:val="left" w:pos="4394"/>
          <w:tab w:val="left" w:pos="5990"/>
        </w:tabs>
        <w:spacing w:line="328"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ascii="Times New Roman" w:hAnsi="Times New Roman" w:eastAsia="Times New Roman"/>
        </w:rPr>
        <w:t xml:space="preserve"> https://www.zhaotx.cn</w:t>
      </w:r>
    </w:p>
    <w:p>
      <w:pPr>
        <w:pStyle w:val="6"/>
        <w:spacing w:before="70"/>
        <w:ind w:right="157" w:firstLine="422"/>
        <w:rPr>
          <w:rFonts w:ascii="黑体" w:hAnsi="黑体" w:eastAsia="黑体"/>
        </w:rPr>
      </w:pPr>
      <w:r>
        <w:rPr>
          <w:rFonts w:ascii="黑体" w:hAnsi="黑体" w:eastAsia="黑体"/>
        </w:rPr>
        <w:t>7.联系方式</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3"/>
        <w:tabs>
          <w:tab w:val="left" w:pos="4394"/>
          <w:tab w:val="left" w:pos="5990"/>
        </w:tabs>
        <w:spacing w:line="331" w:lineRule="auto"/>
        <w:ind w:right="157" w:firstLine="419"/>
        <w:rPr>
          <w:rFonts w:ascii="Times New Roman" w:hAnsi="Times New Roman" w:eastAsia="Times New Roman"/>
        </w:rPr>
      </w:pPr>
      <w:r>
        <w:rPr>
          <w:rFonts w:hint="eastAsia" w:cs="宋体"/>
        </w:rPr>
        <w:t>投标联系人：贾思勰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0571-83837612</w:t>
      </w:r>
    </w:p>
    <w:p>
      <w:pPr>
        <w:pStyle w:val="3"/>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cs="宋体"/>
        </w:rPr>
        <w:t xml:space="preserve">招标监督人： 刘闻捷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rPr>
        <w:t xml:space="preserve"> </w:t>
      </w:r>
      <w:r>
        <w:rPr>
          <w:rFonts w:hint="eastAsia" w:cs="宋体"/>
        </w:rPr>
        <w:t>联系电话：</w:t>
      </w:r>
      <w:r>
        <w:rPr>
          <w:rFonts w:ascii="Times New Roman" w:hAnsi="Times New Roman" w:eastAsia="Times New Roman"/>
        </w:rPr>
        <w:t>0571-86662134</w:t>
      </w:r>
    </w:p>
    <w:bookmarkEnd w:id="39"/>
    <w:p>
      <w:pPr>
        <w:spacing w:before="7"/>
        <w:rPr>
          <w:rFonts w:ascii="宋体" w:hAnsi="宋体" w:cs="宋体"/>
          <w:sz w:val="18"/>
          <w:szCs w:val="18"/>
        </w:rPr>
      </w:pPr>
      <w:bookmarkStart w:id="12" w:name="_bookmark9"/>
      <w:bookmarkEnd w:id="12"/>
    </w:p>
    <w:p>
      <w:pPr>
        <w:pStyle w:val="4"/>
        <w:spacing w:line="564" w:lineRule="exact"/>
        <w:ind w:right="57"/>
        <w:jc w:val="center"/>
      </w:pPr>
      <w:bookmarkStart w:id="13" w:name="_bookmark18"/>
      <w:bookmarkEnd w:id="13"/>
      <w:bookmarkStart w:id="14" w:name="_Toc19698496"/>
      <w:r>
        <w:t>第二章</w:t>
      </w:r>
      <w:r>
        <w:rPr>
          <w:rFonts w:hint="eastAsia"/>
        </w:rPr>
        <w:t xml:space="preserve">  </w:t>
      </w:r>
      <w:r>
        <w:t>投标人须知</w:t>
      </w:r>
      <w:bookmarkEnd w:id="14"/>
    </w:p>
    <w:p>
      <w:pPr>
        <w:pStyle w:val="6"/>
        <w:ind w:firstLine="264" w:firstLineChars="94"/>
        <w:jc w:val="center"/>
        <w:rPr>
          <w:sz w:val="28"/>
          <w:szCs w:val="28"/>
        </w:rPr>
      </w:pPr>
      <w:bookmarkStart w:id="15" w:name="_bookmark19"/>
      <w:bookmarkEnd w:id="15"/>
      <w:r>
        <w:rPr>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联系人：贾思勰</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kern w:val="0"/>
                <w:sz w:val="22"/>
              </w:rPr>
              <w:t>航站楼环境景观绿化综合</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服务期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2020年5月1日至2021 年4月30日。其中T3到达夹层花堆摆放从2020年6月1日开始至2021 年4月30日结束。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服务地点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技术标准指标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2803266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ascii="Segoe UI Emoji" w:hAnsi="Segoe UI Emoji" w:cs="Segoe UI Emoji"/>
                </w:rPr>
                <w:id w:val="-52410125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extDirection w:val="lrTb"/>
            <w:vAlign w:val="center"/>
          </w:tcPr>
          <w:p>
            <w:pPr>
              <w:adjustRightInd w:val="0"/>
              <w:snapToGrid w:val="0"/>
              <w:jc w:val="center"/>
              <w:rPr>
                <w:rFonts w:ascii="宋体" w:hAnsi="宋体" w:cs="宋体"/>
              </w:rPr>
            </w:pPr>
            <w:r>
              <w:rPr>
                <w:rFonts w:ascii="宋体" w:hAnsi="宋体" w:cs="宋体"/>
                <w:szCs w:val="21"/>
              </w:rPr>
              <w:t>1.9.1</w:t>
            </w:r>
          </w:p>
        </w:tc>
        <w:tc>
          <w:tcPr>
            <w:tcW w:w="2562" w:type="dxa"/>
            <w:textDirection w:val="lrTb"/>
            <w:vAlign w:val="center"/>
          </w:tcPr>
          <w:p>
            <w:pPr>
              <w:adjustRightInd w:val="0"/>
              <w:snapToGrid w:val="0"/>
              <w:jc w:val="center"/>
              <w:rPr>
                <w:rFonts w:hint="eastAsia" w:ascii="宋体" w:hAnsi="宋体" w:cs="宋体"/>
              </w:rPr>
            </w:pPr>
            <w:r>
              <w:rPr>
                <w:rFonts w:ascii="宋体" w:hAnsi="宋体" w:cs="宋体"/>
                <w:szCs w:val="21"/>
              </w:rPr>
              <w:t>踏勘现场</w:t>
            </w:r>
          </w:p>
        </w:tc>
        <w:tc>
          <w:tcPr>
            <w:tcW w:w="5597" w:type="dxa"/>
            <w:tcMar>
              <w:top w:w="28" w:type="dxa"/>
              <w:left w:w="28" w:type="dxa"/>
              <w:bottom w:w="57" w:type="dxa"/>
              <w:right w:w="57" w:type="dxa"/>
            </w:tcMar>
            <w:textDirection w:val="lrTb"/>
            <w:vAlign w:val="center"/>
          </w:tcPr>
          <w:p>
            <w:pPr>
              <w:adjustRightInd w:val="0"/>
              <w:snapToGrid w:val="0"/>
              <w:rPr>
                <w:rFonts w:ascii="宋体" w:hAnsi="宋体" w:cs="宋体"/>
                <w:szCs w:val="21"/>
              </w:rPr>
            </w:pPr>
            <w:sdt>
              <w:sdtPr>
                <w:rPr>
                  <w:rFonts w:hint="eastAsia" w:ascii="宋体" w:hAnsi="宋体"/>
                  <w:szCs w:val="21"/>
                </w:rPr>
                <w:id w:val="47095482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宋体" w:cs="Times New Roman"/>
                    <w:kern w:val="2"/>
                    <w:sz w:val="21"/>
                    <w:szCs w:val="21"/>
                    <w:lang w:val="en-US" w:eastAsia="zh-CN" w:bidi="ar-SA"/>
                  </w:rPr>
                  <w:t>☐</w:t>
                </w:r>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494792387"/>
                <w14:checkbox>
                  <w14:checked w14:val="1"/>
                  <w14:checkedState w14:val="0052" w14:font="Wingdings 2"/>
                  <w14:uncheckedState w14:val="2610" w14:font="MS Gothic"/>
                </w14:checkbox>
              </w:sdtPr>
              <w:sdtEndPr>
                <w:rPr>
                  <w:rFonts w:hint="eastAsia" w:ascii="宋体" w:hAnsi="宋体"/>
                  <w:szCs w:val="21"/>
                </w:rPr>
              </w:sdtEndPr>
              <w:sdtContent>
                <w:r>
                  <w:rPr>
                    <w:rFonts w:ascii="Wingdings 2" w:hAnsi="Wingdings 2" w:eastAsia="MS Mincho" w:cs="MS Mincho"/>
                    <w:kern w:val="2"/>
                    <w:sz w:val="21"/>
                    <w:szCs w:val="21"/>
                    <w:lang w:val="en-US" w:eastAsia="zh-CN" w:bidi="ar-SA"/>
                  </w:rPr>
                  <w:t>R</w:t>
                </w:r>
              </w:sdtContent>
            </w:sdt>
            <w:r>
              <w:rPr>
                <w:rFonts w:ascii="宋体" w:hAnsi="宋体" w:cs="宋体"/>
                <w:szCs w:val="21"/>
              </w:rPr>
              <w:t>组织</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hint="eastAsia" w:ascii="宋体" w:hAnsi="宋体"/>
                <w:szCs w:val="21"/>
              </w:rPr>
            </w:pPr>
            <w:r>
              <w:rPr>
                <w:rFonts w:hint="eastAsia" w:ascii="宋体" w:hAnsi="宋体"/>
                <w:szCs w:val="21"/>
              </w:rPr>
              <w:t>踏勘时间：20</w:t>
            </w:r>
            <w:r>
              <w:rPr>
                <w:rFonts w:hint="eastAsia" w:ascii="宋体" w:hAnsi="宋体"/>
                <w:szCs w:val="21"/>
                <w:lang w:val="en-US" w:eastAsia="zh-CN"/>
              </w:rPr>
              <w:t>20</w:t>
            </w:r>
            <w:r>
              <w:rPr>
                <w:rFonts w:hint="eastAsia" w:ascii="宋体" w:hAnsi="宋体"/>
                <w:szCs w:val="21"/>
              </w:rPr>
              <w:t>年</w:t>
            </w:r>
            <w:r>
              <w:rPr>
                <w:rFonts w:hint="eastAsia" w:ascii="宋体" w:hAnsi="宋体"/>
                <w:szCs w:val="21"/>
                <w:lang w:val="en-US" w:eastAsia="zh-CN"/>
              </w:rPr>
              <w:t>4</w:t>
            </w:r>
            <w:r>
              <w:rPr>
                <w:rFonts w:hint="eastAsia" w:ascii="宋体" w:hAnsi="宋体"/>
                <w:szCs w:val="21"/>
              </w:rPr>
              <w:t>月</w:t>
            </w:r>
            <w:r>
              <w:rPr>
                <w:rFonts w:hint="eastAsia" w:ascii="宋体" w:hAnsi="宋体"/>
                <w:szCs w:val="21"/>
                <w:lang w:val="en-US" w:eastAsia="zh-CN"/>
              </w:rPr>
              <w:t>21</w:t>
            </w:r>
            <w:r>
              <w:rPr>
                <w:rFonts w:hint="eastAsia" w:ascii="宋体" w:hAnsi="宋体"/>
                <w:szCs w:val="21"/>
              </w:rPr>
              <w:t>日</w:t>
            </w:r>
            <w:r>
              <w:rPr>
                <w:rFonts w:hint="eastAsia" w:ascii="宋体" w:hAnsi="宋体"/>
                <w:szCs w:val="21"/>
                <w:lang w:val="en-US" w:eastAsia="zh-CN"/>
              </w:rPr>
              <w:t>9</w:t>
            </w:r>
            <w:r>
              <w:rPr>
                <w:rFonts w:hint="eastAsia" w:ascii="宋体" w:hAnsi="宋体"/>
                <w:szCs w:val="21"/>
              </w:rPr>
              <w:t>时</w:t>
            </w:r>
            <w:r>
              <w:rPr>
                <w:rFonts w:hint="eastAsia" w:ascii="宋体" w:hAnsi="宋体"/>
                <w:szCs w:val="21"/>
                <w:lang w:val="en-US" w:eastAsia="zh-CN"/>
              </w:rPr>
              <w:t>00</w:t>
            </w:r>
            <w:r>
              <w:rPr>
                <w:rFonts w:hint="eastAsia" w:ascii="宋体" w:hAnsi="宋体"/>
                <w:szCs w:val="21"/>
              </w:rPr>
              <w:t>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hint="eastAsia" w:ascii="宋体" w:hAnsi="宋体" w:cs="宋体"/>
              </w:rPr>
            </w:pPr>
            <w:r>
              <w:rPr>
                <w:rFonts w:hint="eastAsia" w:ascii="宋体" w:hAnsi="宋体"/>
                <w:szCs w:val="21"/>
              </w:rPr>
              <w:t>踏勘集中地点：杭州萧山国际机场翔越路综合服务楼园区招标中心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w:t>
            </w:r>
            <w:r>
              <w:rPr>
                <w:rFonts w:hint="eastAsia" w:ascii="宋体" w:hAnsi="宋体" w:cs="宋体"/>
                <w:lang w:val="en-US" w:eastAsia="zh-CN"/>
              </w:rPr>
              <w:t>10</w:t>
            </w:r>
            <w:r>
              <w:rPr>
                <w:rFonts w:ascii="宋体" w:hAnsi="宋体" w:cs="宋体"/>
              </w:rPr>
              <w:t>.1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20980552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ascii="Segoe UI Emoji" w:hAnsi="Segoe UI Emoji" w:cs="Segoe UI Emoji"/>
                </w:rPr>
                <w:id w:val="1563065859"/>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w:t>
            </w:r>
            <w:r>
              <w:rPr>
                <w:rFonts w:hint="eastAsia" w:ascii="宋体" w:hAnsi="宋体" w:cs="宋体"/>
                <w:lang w:val="en-US" w:eastAsia="zh-CN"/>
              </w:rPr>
              <w:t>10</w:t>
            </w:r>
            <w:r>
              <w:rPr>
                <w:rFonts w:ascii="宋体" w:hAnsi="宋体" w:cs="宋体"/>
              </w:rPr>
              <w:t>.2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w:t>
            </w:r>
            <w:r>
              <w:rPr>
                <w:rFonts w:hint="eastAsia" w:ascii="宋体" w:hAnsi="宋体" w:cs="宋体"/>
                <w:lang w:val="en-US" w:eastAsia="zh-CN"/>
              </w:rPr>
              <w:t>10</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w:t>
            </w:r>
            <w:r>
              <w:rPr>
                <w:rFonts w:hint="eastAsia" w:ascii="宋体" w:hAnsi="宋体" w:cs="宋体"/>
                <w:lang w:val="en-US" w:eastAsia="zh-CN"/>
              </w:rPr>
              <w:t>1</w:t>
            </w:r>
            <w:r>
              <w:rPr>
                <w:rFonts w:ascii="宋体" w:hAnsi="宋体" w:cs="宋体"/>
              </w:rPr>
              <w:t>.1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822413593"/>
                <w14:checkbox>
                  <w14:checked w14:val="1"/>
                  <w14:checkedState w14:val="0052" w14:font="Wingdings 2"/>
                  <w14:uncheckedState w14:val="2610" w14:font="MS Gothic"/>
                </w14:checkbox>
              </w:sdtPr>
              <w:sdtEndPr>
                <w:rPr>
                  <w:rFonts w:ascii="宋体" w:hAnsi="宋体" w:cs="宋体"/>
                </w:rPr>
              </w:sdtEndPr>
              <w:sdtContent>
                <w:r>
                  <w:rPr>
                    <w:rFonts w:ascii="Segoe UI Emoji" w:hAnsi="Segoe UI Emoji" w:cs="Segoe UI Emoji"/>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ascii="宋体" w:hAnsi="宋体" w:cs="宋体"/>
                </w:rPr>
                <w:id w:val="374359744"/>
                <w14:checkbox>
                  <w14:checked w14:val="0"/>
                  <w14:checkedState w14:val="0052" w14:font="Wingdings 2"/>
                  <w14:uncheckedState w14:val="2610" w14:font="MS Gothic"/>
                </w14:checkbox>
              </w:sdtPr>
              <w:sdtEndPr>
                <w:rPr>
                  <w:rFonts w:ascii="宋体" w:hAnsi="宋体" w:cs="宋体"/>
                </w:rPr>
              </w:sdtEndPr>
              <w:sdtContent>
                <w:r>
                  <w:rPr>
                    <w:rFonts w:hint="eastAsia" w:ascii="宋体" w:hAnsi="宋体" w:cs="宋体"/>
                  </w:rPr>
                  <w:t>☐</w:t>
                </w:r>
              </w:sdtContent>
            </w:sdt>
            <w:r>
              <w:rPr>
                <w:rFonts w:hint="eastAsia" w:ascii="宋体" w:hAnsi="宋体" w:cs="宋体"/>
              </w:rPr>
              <w:t>允许，分包内容要求：</w:t>
            </w:r>
            <w:r>
              <w:rPr>
                <w:rFonts w:ascii="宋体" w:hAnsi="宋体" w:cs="宋体"/>
              </w:rPr>
              <w:t xml:space="preserve"> </w:t>
            </w:r>
          </w:p>
          <w:p>
            <w:pPr>
              <w:adjustRightInd w:val="0"/>
              <w:snapToGrid w:val="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w:t>
            </w:r>
            <w:r>
              <w:rPr>
                <w:rFonts w:hint="eastAsia" w:ascii="宋体" w:hAnsi="宋体" w:cs="宋体"/>
                <w:lang w:val="en-US" w:eastAsia="zh-CN"/>
              </w:rPr>
              <w:t>2</w:t>
            </w:r>
            <w:r>
              <w:rPr>
                <w:rFonts w:ascii="宋体" w:hAnsi="宋体" w:cs="宋体"/>
              </w:rPr>
              <w:t>.1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（4）投标人递交两份或多份内容不同的投标文件，或在一份投标文件中对同一招标项目报有两个或多个报价，且未声明哪一个有效；</w:t>
            </w:r>
          </w:p>
          <w:p>
            <w:pPr>
              <w:adjustRightInd w:val="0"/>
              <w:snapToGrid w:val="0"/>
              <w:rPr>
                <w:rFonts w:ascii="宋体" w:hAnsi="宋体" w:cs="宋体"/>
              </w:rPr>
            </w:pPr>
            <w:r>
              <w:rPr>
                <w:rFonts w:hint="eastAsia" w:ascii="宋体" w:hAnsi="宋体" w:cs="宋体"/>
              </w:rPr>
              <w:t>（5）服务期不满足招标文件要求的；</w:t>
            </w:r>
          </w:p>
          <w:p>
            <w:pPr>
              <w:adjustRightInd w:val="0"/>
              <w:snapToGrid w:val="0"/>
              <w:rPr>
                <w:rFonts w:ascii="宋体" w:hAnsi="宋体" w:cs="宋体"/>
              </w:rPr>
            </w:pPr>
            <w:r>
              <w:rPr>
                <w:rFonts w:hint="eastAsia" w:ascii="宋体" w:hAnsi="宋体" w:cs="宋体"/>
              </w:rPr>
              <w:t>（6）未响应招标文件规定的实质性要求（包括具体条文前用“★”标示的）</w:t>
            </w:r>
          </w:p>
          <w:p>
            <w:pPr>
              <w:adjustRightInd w:val="0"/>
              <w:snapToGrid w:val="0"/>
              <w:rPr>
                <w:rFonts w:ascii="宋体" w:hAnsi="宋体" w:cs="宋体"/>
              </w:rPr>
            </w:pPr>
            <w:r>
              <w:rPr>
                <w:rFonts w:hint="eastAsia" w:ascii="宋体" w:hAnsi="宋体" w:cs="宋体"/>
              </w:rPr>
              <w:t>（7）投标人不以自己的名义或未按招标文件的要求提供投标保证金或提供的保证金有缺陷而不能接受的；</w:t>
            </w:r>
          </w:p>
          <w:p>
            <w:pPr>
              <w:adjustRightInd w:val="0"/>
              <w:snapToGrid w:val="0"/>
              <w:rPr>
                <w:rFonts w:ascii="宋体" w:hAnsi="宋体" w:cs="宋体"/>
              </w:rPr>
            </w:pPr>
            <w:r>
              <w:rPr>
                <w:rFonts w:hint="eastAsia" w:ascii="宋体" w:hAnsi="宋体" w:cs="宋体"/>
              </w:rPr>
              <w:t>（8）投标人以他人名义投标、或与他人串通投标、或以行贿手段谋取中标，或弄虚作假的；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（9）被浙江省机场集团有限公司或杭州萧山国际机场有限公司列入禁止交易名单或不良信用记录名单的单位；</w:t>
            </w:r>
          </w:p>
          <w:p>
            <w:pPr>
              <w:adjustRightInd w:val="0"/>
              <w:snapToGrid w:val="0"/>
              <w:rPr>
                <w:rFonts w:ascii="宋体" w:hAnsi="宋体" w:cs="宋体"/>
              </w:rPr>
            </w:pPr>
            <w:r>
              <w:rPr>
                <w:rFonts w:hint="eastAsia" w:ascii="宋体" w:hAnsi="宋体" w:cs="宋体"/>
              </w:rPr>
              <w:t>（10）存在法律、法规、规章规定的其它无效投标情况的。</w:t>
            </w:r>
          </w:p>
          <w:p>
            <w:pPr>
              <w:adjustRightInd w:val="0"/>
              <w:snapToGrid w:val="0"/>
              <w:rPr>
                <w:rFonts w:ascii="宋体" w:hAnsi="宋体" w:cs="宋体"/>
              </w:rPr>
            </w:pPr>
            <w:r>
              <w:rPr>
                <w:rFonts w:hint="eastAsia" w:ascii="宋体" w:hAnsi="宋体" w:cs="宋体"/>
              </w:rPr>
              <w:t>（11）投标人须知前附表规定的其他要求。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w:t>
            </w:r>
            <w:r>
              <w:rPr>
                <w:rFonts w:hint="eastAsia" w:ascii="宋体" w:hAnsi="宋体" w:cs="宋体"/>
                <w:lang w:val="en-US" w:eastAsia="zh-CN"/>
              </w:rPr>
              <w:t>2</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w:t>
            </w:r>
            <w:r>
              <w:rPr>
                <w:rFonts w:hint="eastAsia" w:ascii="宋体" w:hAnsi="宋体" w:cs="宋体"/>
                <w:lang w:val="en-US" w:eastAsia="zh-CN"/>
              </w:rPr>
              <w:t>2</w:t>
            </w:r>
            <w:r>
              <w:rPr>
                <w:rFonts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78165738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ascii="Segoe UI Emoji" w:hAnsi="Segoe UI Emoji" w:cs="Segoe UI Emoji"/>
                </w:rPr>
                <w:id w:val="-202153859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2020年</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，请将投标疑问以电子邮件（加盖公章的扫描件，并同时提供word版本的文件）的方式提交至招标人如下邮箱：</w:t>
            </w:r>
            <w:r>
              <w:fldChar w:fldCharType="begin"/>
            </w:r>
            <w:r>
              <w:instrText xml:space="preserve"> HYPERLINK "mailto:zbzx@hzairport.com" </w:instrText>
            </w:r>
            <w:r>
              <w:fldChar w:fldCharType="separate"/>
            </w:r>
            <w:r>
              <w:rPr>
                <w:rStyle w:val="86"/>
                <w:rFonts w:ascii="宋体" w:hAnsi="宋体"/>
              </w:rPr>
              <w:t>zbzx@hzairport.com</w:t>
            </w:r>
            <w:r>
              <w:rPr>
                <w:rStyle w:val="86"/>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合同内所有费用投标人须统一提供“服务”类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98388813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65248121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6"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bookmarkEnd w:id="16"/>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7" w:name="EB191aa127b49d4a8b95623a875e1177a4"/>
            <w:r>
              <w:rPr>
                <w:rFonts w:ascii="宋体" w:hAnsi="宋体"/>
                <w:u w:val="single"/>
              </w:rPr>
              <w:t>12</w:t>
            </w:r>
            <w:r>
              <w:rPr>
                <w:rFonts w:hint="eastAsia" w:ascii="宋体" w:hAnsi="宋体"/>
                <w:u w:val="single"/>
              </w:rPr>
              <w:t>0</w:t>
            </w:r>
            <w:bookmarkEnd w:id="17"/>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ascii="Segoe UI Emoji" w:hAnsi="Segoe UI Emoji" w:cs="Segoe UI Emoji"/>
                </w:rPr>
                <w:id w:val="-1222666310"/>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Segoe UI Emoji" w:hAnsi="Segoe UI Emoji" w:cs="Segoe UI Emoji"/>
              </w:rPr>
              <w:t>要</w:t>
            </w:r>
            <w:r>
              <w:rPr>
                <w:rFonts w:hint="eastAsia" w:ascii="宋体" w:hAnsi="宋体" w:cs="宋体"/>
              </w:rPr>
              <w:t>求，投标保证金的形式：支票、银行汇票或电汇，必须在投标截止时间前通过投标人的基本账户以银行转账方式缴纳。</w:t>
            </w:r>
          </w:p>
          <w:p>
            <w:pPr>
              <w:snapToGrid w:val="0"/>
              <w:rPr>
                <w:rFonts w:ascii="宋体" w:hAnsi="宋体" w:cs="宋体"/>
              </w:rPr>
            </w:pPr>
            <w:r>
              <w:rPr>
                <w:rFonts w:hint="eastAsia" w:ascii="宋体" w:hAnsi="宋体" w:cs="宋体"/>
              </w:rPr>
              <w:t>投标保证金的金额：</w:t>
            </w:r>
            <w:r>
              <w:rPr>
                <w:rFonts w:hint="eastAsia" w:ascii="宋体" w:hAnsi="宋体" w:cs="宋体"/>
                <w:b/>
                <w:bCs/>
                <w:sz w:val="22"/>
              </w:rPr>
              <w:t>人民币二万元整。</w:t>
            </w:r>
          </w:p>
          <w:p>
            <w:pPr>
              <w:adjustRightInd w:val="0"/>
              <w:snapToGrid w:val="0"/>
              <w:rPr>
                <w:rFonts w:ascii="宋体" w:hAnsi="宋体"/>
              </w:rPr>
            </w:pPr>
            <w:r>
              <w:rPr>
                <w:rFonts w:hint="eastAsia" w:ascii="宋体" w:hAnsi="宋体"/>
              </w:rPr>
              <w:t>投标保证金应在投标截止时间前汇入以下帐户：</w:t>
            </w:r>
          </w:p>
          <w:p>
            <w:pPr>
              <w:adjustRightInd w:val="0"/>
              <w:snapToGrid w:val="0"/>
              <w:rPr>
                <w:rFonts w:ascii="宋体" w:hAnsi="宋体"/>
              </w:rPr>
            </w:pPr>
            <w:r>
              <w:rPr>
                <w:rFonts w:hint="eastAsia" w:ascii="宋体" w:hAnsi="宋体"/>
              </w:rPr>
              <w:t>开户名：杭州萧山国际机场有限公司</w:t>
            </w:r>
          </w:p>
          <w:p>
            <w:pPr>
              <w:adjustRightInd w:val="0"/>
              <w:snapToGrid w:val="0"/>
              <w:rPr>
                <w:rFonts w:ascii="宋体" w:hAnsi="宋体"/>
              </w:rPr>
            </w:pPr>
            <w:r>
              <w:rPr>
                <w:rFonts w:hint="eastAsia" w:ascii="宋体" w:hAnsi="宋体"/>
              </w:rPr>
              <w:t xml:space="preserve">开户银行：工行杭州市空港城支行 </w:t>
            </w:r>
          </w:p>
          <w:p>
            <w:pPr>
              <w:adjustRightInd w:val="0"/>
              <w:snapToGrid w:val="0"/>
              <w:rPr>
                <w:rFonts w:ascii="宋体" w:hAnsi="宋体"/>
              </w:rPr>
            </w:pPr>
            <w:r>
              <w:rPr>
                <w:rFonts w:hint="eastAsia" w:ascii="宋体" w:hAnsi="宋体"/>
              </w:rPr>
              <w:t>帐号：1202050209904601740</w:t>
            </w:r>
          </w:p>
          <w:p>
            <w:pPr>
              <w:adjustRightInd w:val="0"/>
              <w:snapToGrid w:val="0"/>
              <w:rPr>
                <w:rFonts w:ascii="宋体" w:hAnsi="宋体" w:cs="宋体"/>
              </w:rPr>
            </w:pPr>
            <w:r>
              <w:rPr>
                <w:rFonts w:hint="eastAsia" w:ascii="宋体" w:hAnsi="宋体"/>
              </w:rPr>
              <w:t>投标人提交投标保证金时需注明“航站楼环境景观绿化综合项目投标保证金”，基本账户开户许可证和银行回单复印件等应注明投标人户名、开户行、账号等信息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3"/>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3"/>
            </w:pPr>
            <w:r>
              <w:rPr>
                <w:rFonts w:hint="eastAsia"/>
              </w:rPr>
              <w:t>2、招标人和中标人应当在中标通知书发出之日起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年内禁止参与招标人所有招标项目的投标，并由招标管理部门列入禁止交易名单或不良信用记录名单，给招标人造成损失的，还需承担赔偿责任。</w:t>
            </w:r>
          </w:p>
          <w:p>
            <w:pPr>
              <w:pStyle w:val="3"/>
              <w:rPr>
                <w:b/>
                <w:bCs/>
              </w:rPr>
            </w:pPr>
            <w:r>
              <w:rPr>
                <w:rFonts w:hint="eastAsia"/>
              </w:rPr>
              <w:t>4、定标前招标人有权派员对中标候选人投标时选用的投标业绩进行核查，以确认其业绩真实情况，中标候选人必须积极配合业绩核查，如查实存在弄虚作假行为则其投标保证金不予退还并由招标管理部门列入禁止交易名单或不良信用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ascii="Segoe UI Emoji" w:hAnsi="Segoe UI Emoji" w:cs="Segoe UI Emoji"/>
                </w:rPr>
                <w:id w:val="-55431914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无</w:t>
            </w:r>
          </w:p>
          <w:p>
            <w:pPr>
              <w:adjustRightInd w:val="0"/>
              <w:snapToGrid w:val="0"/>
              <w:rPr>
                <w:rFonts w:ascii="宋体" w:hAnsi="宋体" w:cs="宋体"/>
              </w:rPr>
            </w:pPr>
            <w:sdt>
              <w:sdtPr>
                <w:rPr>
                  <w:rFonts w:ascii="Segoe UI Emoji" w:hAnsi="Segoe UI Emoji" w:cs="Segoe UI Emoji"/>
                </w:rPr>
                <w:id w:val="119689430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有，具体要求：</w:t>
            </w:r>
          </w:p>
          <w:p>
            <w:pPr>
              <w:pStyle w:val="41"/>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1"/>
              <w:rPr>
                <w:rFonts w:hAnsi="宋体" w:cs="宋体"/>
                <w:sz w:val="22"/>
                <w:szCs w:val="22"/>
              </w:rPr>
            </w:pPr>
            <w:r>
              <w:rPr>
                <w:rFonts w:hAnsi="宋体" w:cs="宋体"/>
                <w:sz w:val="22"/>
                <w:szCs w:val="22"/>
              </w:rPr>
              <w:t>1、企业法人营业执照；</w:t>
            </w:r>
          </w:p>
          <w:p>
            <w:pPr>
              <w:pStyle w:val="41"/>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41"/>
              <w:rPr>
                <w:rFonts w:hAnsi="宋体" w:cs="宋体"/>
                <w:sz w:val="22"/>
                <w:szCs w:val="22"/>
              </w:rPr>
            </w:pPr>
            <w:sdt>
              <w:sdtPr>
                <w:rPr>
                  <w:rFonts w:ascii="Segoe UI Emoji" w:hAnsi="Segoe UI Emoji" w:cs="Segoe UI Emoji"/>
                </w:rPr>
                <w:id w:val="-2066470662"/>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Ansi="宋体" w:cs="宋体"/>
                <w:sz w:val="22"/>
                <w:szCs w:val="22"/>
              </w:rPr>
              <w:t xml:space="preserve"> 3、联合体各方签订的共同投标协议(联合体投标的提供)；</w:t>
            </w:r>
          </w:p>
          <w:p>
            <w:pPr>
              <w:adjustRightInd w:val="0"/>
              <w:snapToGrid w:val="0"/>
              <w:rPr>
                <w:rFonts w:ascii="宋体" w:hAnsi="宋体" w:cs="宋体"/>
              </w:rPr>
            </w:pPr>
            <w:bookmarkStart w:id="18"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8"/>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shd w:val="clear" w:color="auto" w:fill="auto"/>
            <w:vAlign w:val="center"/>
          </w:tcPr>
          <w:p>
            <w:pPr>
              <w:adjustRightInd w:val="0"/>
              <w:snapToGrid w:val="0"/>
              <w:jc w:val="center"/>
              <w:rPr>
                <w:rFonts w:ascii="宋体" w:hAnsi="宋体" w:cs="宋体"/>
              </w:rPr>
            </w:pPr>
            <w:r>
              <w:rPr>
                <w:rFonts w:ascii="宋体" w:hAnsi="宋体" w:cs="宋体"/>
              </w:rPr>
              <w:t>3.5.2</w:t>
            </w:r>
          </w:p>
        </w:tc>
        <w:tc>
          <w:tcPr>
            <w:tcW w:w="2562" w:type="dxa"/>
            <w:shd w:val="clear" w:color="auto" w:fill="auto"/>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39100262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ascii="Segoe UI Emoji" w:hAnsi="Segoe UI Emoji" w:cs="Segoe UI Emoji"/>
                </w:rPr>
                <w:id w:val="461706061"/>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 xml:space="preserve"> 2018年至2019年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shd w:val="clear" w:color="auto" w:fill="auto"/>
            <w:vAlign w:val="center"/>
          </w:tcPr>
          <w:p>
            <w:pPr>
              <w:adjustRightInd w:val="0"/>
              <w:snapToGrid w:val="0"/>
              <w:jc w:val="center"/>
              <w:rPr>
                <w:rFonts w:ascii="宋体" w:hAnsi="宋体" w:cs="宋体"/>
              </w:rPr>
            </w:pPr>
            <w:r>
              <w:rPr>
                <w:rFonts w:ascii="宋体" w:hAnsi="宋体" w:cs="宋体"/>
              </w:rPr>
              <w:t>3.5.3</w:t>
            </w:r>
          </w:p>
        </w:tc>
        <w:tc>
          <w:tcPr>
            <w:tcW w:w="2562" w:type="dxa"/>
            <w:shd w:val="clear" w:color="auto" w:fill="auto"/>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50959799"/>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55924947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ascii="宋体" w:hAnsi="宋体" w:cs="宋体"/>
              </w:rPr>
              <w:t xml:space="preserve"> 20  </w:t>
            </w:r>
            <w:r>
              <w:rPr>
                <w:rFonts w:hint="eastAsia" w:ascii="宋体" w:hAnsi="宋体" w:cs="宋体"/>
              </w:rPr>
              <w:t>年</w:t>
            </w:r>
            <w:r>
              <w:rPr>
                <w:rFonts w:ascii="宋体" w:hAnsi="宋体" w:cs="宋体"/>
              </w:rPr>
              <w:t xml:space="preserve">  月  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shd w:val="clear" w:color="auto" w:fill="auto"/>
            <w:vAlign w:val="center"/>
          </w:tcPr>
          <w:p>
            <w:pPr>
              <w:adjustRightInd w:val="0"/>
              <w:snapToGrid w:val="0"/>
              <w:jc w:val="center"/>
              <w:rPr>
                <w:rFonts w:ascii="宋体" w:hAnsi="宋体" w:cs="宋体"/>
              </w:rPr>
            </w:pPr>
            <w:r>
              <w:rPr>
                <w:rFonts w:ascii="宋体" w:hAnsi="宋体" w:cs="宋体"/>
              </w:rPr>
              <w:t>3.5.5</w:t>
            </w:r>
          </w:p>
        </w:tc>
        <w:tc>
          <w:tcPr>
            <w:tcW w:w="2562" w:type="dxa"/>
            <w:shd w:val="clear" w:color="auto" w:fill="auto"/>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432972183"/>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 xml:space="preserve"> /</w:t>
            </w:r>
          </w:p>
          <w:p>
            <w:pPr>
              <w:adjustRightInd w:val="0"/>
              <w:snapToGrid w:val="0"/>
              <w:rPr>
                <w:rFonts w:ascii="宋体" w:hAnsi="宋体" w:cs="宋体"/>
              </w:rPr>
            </w:pPr>
            <w:sdt>
              <w:sdtPr>
                <w:rPr>
                  <w:rFonts w:ascii="Segoe UI Emoji" w:hAnsi="Segoe UI Emoji" w:cs="Segoe UI Emoji"/>
                </w:rPr>
                <w:id w:val="47886192"/>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rPr>
              <w:t xml:space="preserve"> 2016年1月1日至投标截止日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00802347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Segoe UI Emoji" w:hAnsi="Segoe UI Emoji" w:cs="Segoe UI Emoji"/>
              </w:rPr>
              <w:t xml:space="preserve"> </w:t>
            </w:r>
            <w:r>
              <w:rPr>
                <w:rFonts w:hint="eastAsia" w:ascii="宋体" w:hAnsi="宋体" w:cs="宋体"/>
              </w:rPr>
              <w:t>不允许</w:t>
            </w:r>
          </w:p>
          <w:p>
            <w:pPr>
              <w:adjustRightInd w:val="0"/>
              <w:snapToGrid w:val="0"/>
              <w:rPr>
                <w:rFonts w:ascii="宋体" w:hAnsi="宋体" w:cs="宋体"/>
              </w:rPr>
            </w:pPr>
            <w:sdt>
              <w:sdtPr>
                <w:rPr>
                  <w:rFonts w:ascii="Segoe UI Emoji" w:hAnsi="Segoe UI Emoji" w:cs="Segoe UI Emoji"/>
                </w:rPr>
                <w:id w:val="-1754503497"/>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投标文件份数：正本1份，副本4份，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杭州萧山国际机场航站楼环境景观绿化综合项目</w:t>
            </w:r>
            <w:r>
              <w:rPr>
                <w:rFonts w:hint="eastAsia" w:ascii="宋体" w:hAnsi="宋体" w:cs="宋体"/>
              </w:rPr>
              <w:t>投标文件</w:t>
            </w:r>
          </w:p>
          <w:p>
            <w:pPr>
              <w:adjustRightInd w:val="0"/>
              <w:snapToGrid w:val="0"/>
              <w:rPr>
                <w:rFonts w:ascii="宋体" w:hAnsi="宋体" w:cs="宋体"/>
              </w:rPr>
            </w:pPr>
            <w:r>
              <w:rPr>
                <w:rFonts w:hint="eastAsia" w:ascii="宋体" w:hAnsi="宋体" w:cs="宋体"/>
              </w:rPr>
              <w:t>在</w:t>
            </w:r>
            <w:r>
              <w:rPr>
                <w:rFonts w:ascii="Times New Roman" w:hAnsi="Times New Roman" w:eastAsia="Times New Roman"/>
              </w:rPr>
              <w:t>20</w:t>
            </w:r>
            <w:r>
              <w:rPr>
                <w:rFonts w:hint="eastAsia" w:ascii="Times New Roman" w:hAnsi="Times New Roman"/>
              </w:rPr>
              <w:t>20</w:t>
            </w:r>
            <w:r>
              <w:rPr>
                <w:rFonts w:hint="eastAsia" w:cs="宋体"/>
              </w:rPr>
              <w:t>年</w:t>
            </w:r>
            <w:r>
              <w:rPr>
                <w:rFonts w:hint="eastAsia" w:ascii="Times New Roman" w:hAnsi="Times New Roman"/>
                <w:lang w:val="en-US" w:eastAsia="zh-CN"/>
              </w:rPr>
              <w:t>4</w:t>
            </w:r>
            <w:r>
              <w:rPr>
                <w:rFonts w:hint="eastAsia" w:cs="宋体"/>
              </w:rPr>
              <w:t>月</w:t>
            </w:r>
            <w:r>
              <w:rPr>
                <w:rFonts w:hint="eastAsia" w:cs="宋体"/>
                <w:lang w:val="en-US" w:eastAsia="zh-CN"/>
              </w:rPr>
              <w:t>29</w:t>
            </w:r>
            <w:r>
              <w:rPr>
                <w:rFonts w:hint="eastAsia" w:cs="宋体"/>
              </w:rPr>
              <w:t>日</w:t>
            </w:r>
            <w:r>
              <w:rPr>
                <w:rFonts w:hint="eastAsia" w:ascii="Times New Roman" w:hAnsi="Times New Roman"/>
                <w:lang w:val="en-US" w:eastAsia="zh-CN"/>
              </w:rPr>
              <w:t>9</w:t>
            </w:r>
            <w:r>
              <w:rPr>
                <w:rFonts w:hint="eastAsia" w:cs="宋体"/>
              </w:rPr>
              <w:t>时</w:t>
            </w:r>
            <w:r>
              <w:rPr>
                <w:rFonts w:hint="eastAsia" w:cs="宋体"/>
                <w:lang w:val="en-US" w:eastAsia="zh-CN"/>
              </w:rPr>
              <w:t>00</w:t>
            </w:r>
            <w:r>
              <w:rPr>
                <w:rFonts w:hint="eastAsia" w:cs="宋体"/>
              </w:rPr>
              <w:t>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Times New Roman" w:hAnsi="Times New Roman" w:eastAsia="Times New Roman"/>
              </w:rPr>
              <w:t>20</w:t>
            </w:r>
            <w:r>
              <w:rPr>
                <w:rFonts w:hint="eastAsia" w:ascii="Times New Roman" w:hAnsi="Times New Roman"/>
              </w:rPr>
              <w:t>20</w:t>
            </w:r>
            <w:r>
              <w:rPr>
                <w:rFonts w:hint="eastAsia" w:cs="宋体"/>
              </w:rPr>
              <w:t>年</w:t>
            </w:r>
            <w:r>
              <w:rPr>
                <w:rFonts w:hint="eastAsia" w:ascii="Times New Roman" w:hAnsi="Times New Roman"/>
                <w:lang w:val="en-US" w:eastAsia="zh-CN"/>
              </w:rPr>
              <w:t>4</w:t>
            </w:r>
            <w:r>
              <w:rPr>
                <w:rFonts w:hint="eastAsia" w:cs="宋体"/>
              </w:rPr>
              <w:t>月</w:t>
            </w:r>
            <w:r>
              <w:rPr>
                <w:rFonts w:hint="eastAsia" w:cs="宋体"/>
                <w:lang w:val="en-US" w:eastAsia="zh-CN"/>
              </w:rPr>
              <w:t>29</w:t>
            </w:r>
            <w:r>
              <w:rPr>
                <w:rFonts w:hint="eastAsia" w:cs="宋体"/>
              </w:rPr>
              <w:t>日</w:t>
            </w:r>
            <w:r>
              <w:rPr>
                <w:rFonts w:hint="eastAsia" w:ascii="Times New Roman" w:hAnsi="Times New Roman"/>
                <w:lang w:val="en-US" w:eastAsia="zh-CN"/>
              </w:rPr>
              <w:t>9</w:t>
            </w:r>
            <w:r>
              <w:rPr>
                <w:rFonts w:hint="eastAsia" w:cs="宋体"/>
              </w:rPr>
              <w:t>时</w:t>
            </w:r>
            <w:r>
              <w:rPr>
                <w:rFonts w:hint="eastAsia" w:cs="宋体"/>
                <w:lang w:val="en-US" w:eastAsia="zh-CN"/>
              </w:rPr>
              <w:t>00</w:t>
            </w:r>
            <w:r>
              <w:rPr>
                <w:rFonts w:hint="eastAsia" w:cs="宋体"/>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588765400"/>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418313190"/>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：5</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r>
              <w:rPr>
                <w:rFonts w:hint="eastAsia" w:ascii="宋体" w:hAnsi="宋体" w:cs="宋体"/>
                <w:szCs w:val="21"/>
              </w:rPr>
              <w:t>公示媒介： 杭州萧山国际机场有限公司主页</w:t>
            </w:r>
          </w:p>
          <w:p>
            <w:pPr>
              <w:adjustRightInd w:val="0"/>
              <w:snapToGrid w:val="0"/>
              <w:rPr>
                <w:rStyle w:val="86"/>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1775977316"/>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w:t>
            </w:r>
          </w:p>
          <w:p>
            <w:pPr>
              <w:adjustRightInd w:val="0"/>
              <w:snapToGrid w:val="0"/>
              <w:rPr>
                <w:rFonts w:ascii="宋体" w:hAnsi="宋体" w:cs="宋体"/>
              </w:rPr>
            </w:pPr>
            <w:sdt>
              <w:sdtPr>
                <w:rPr>
                  <w:rFonts w:ascii="Segoe UI Emoji" w:hAnsi="Segoe UI Emoji" w:cs="Segoe UI Emoji"/>
                </w:rPr>
                <w:id w:val="1724330745"/>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ascii="Segoe UI Emoji" w:hAnsi="Segoe UI Emoji" w:cs="Segoe UI Emoji"/>
              </w:rPr>
              <w:t xml:space="preserve"> </w:t>
            </w:r>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cs="宋体"/>
              </w:rPr>
            </w:pPr>
            <w:sdt>
              <w:sdtPr>
                <w:rPr>
                  <w:rFonts w:ascii="Segoe UI Emoji" w:hAnsi="Segoe UI Emoji" w:cs="Segoe UI Emoji"/>
                </w:rPr>
                <w:id w:val="911285996"/>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sdt>
              <w:sdtPr>
                <w:rPr>
                  <w:rFonts w:ascii="Segoe UI Emoji" w:hAnsi="Segoe UI Emoji" w:cs="Segoe UI Emoji"/>
                </w:rPr>
                <w:id w:val="727808765"/>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ascii="Segoe UI Emoji" w:hAnsi="Segoe UI Emoji" w:cs="Segoe UI Emoji"/>
                </w:rPr>
                <w:id w:val="-340479239"/>
                <w14:checkbox>
                  <w14:checked w14:val="1"/>
                  <w14:checkedState w14:val="0052" w14:font="Wingdings 2"/>
                  <w14:uncheckedState w14:val="2610" w14:font="MS Gothic"/>
                </w14:checkbox>
              </w:sdtPr>
              <w:sdtEndPr>
                <w:rPr>
                  <w:rFonts w:ascii="Segoe UI Emoji" w:hAnsi="Segoe UI Emoji" w:cs="Segoe UI Emoji"/>
                </w:rPr>
              </w:sdtEndPr>
              <w:sdtContent>
                <w:r>
                  <w:rPr>
                    <w:rFonts w:ascii="Segoe UI Emoji" w:hAnsi="Segoe UI Emoji" w:cs="Segoe UI Emoji"/>
                  </w:rPr>
                  <w:sym w:font="Wingdings 2" w:char="F052"/>
                </w:r>
              </w:sdtContent>
            </w:sdt>
            <w:r>
              <w:rPr>
                <w:rFonts w:hint="eastAsia" w:ascii="宋体" w:hAnsi="宋体" w:cs="宋体"/>
              </w:rPr>
              <w:t>否</w:t>
            </w:r>
          </w:p>
          <w:p>
            <w:pPr>
              <w:adjustRightInd w:val="0"/>
              <w:snapToGrid w:val="0"/>
              <w:rPr>
                <w:rFonts w:ascii="宋体" w:hAnsi="宋体" w:cs="宋体"/>
              </w:rPr>
            </w:pPr>
            <w:sdt>
              <w:sdtPr>
                <w:rPr>
                  <w:rFonts w:ascii="Segoe UI Emoji" w:hAnsi="Segoe UI Emoji" w:cs="Segoe UI Emoji"/>
                </w:rPr>
                <w:id w:val="1292475938"/>
                <w14:checkbox>
                  <w14:checked w14:val="0"/>
                  <w14:checkedState w14:val="0052" w14:font="Wingdings 2"/>
                  <w14:uncheckedState w14:val="2610" w14:font="MS Gothic"/>
                </w14:checkbox>
              </w:sdtPr>
              <w:sdtEndPr>
                <w:rPr>
                  <w:rFonts w:ascii="Segoe UI Emoji" w:hAnsi="Segoe UI Emoji" w:cs="Segoe UI Emoji"/>
                </w:rPr>
              </w:sdtEndPr>
              <w:sdtContent>
                <w:r>
                  <w:rPr>
                    <w:rFonts w:hint="eastAsia" w:ascii="MS Gothic" w:hAnsi="MS Gothic" w:eastAsia="MS Gothic" w:cs="Segoe UI Emoji"/>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pPr>
            <w:r>
              <w:rPr>
                <w:rFonts w:hint="eastAsia"/>
              </w:rPr>
              <w:t>1</w:t>
            </w:r>
            <w: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rPr>
              <w:t>项目</w:t>
            </w:r>
            <w:r>
              <w:t>继续评标。评标结束后，评标专家应将有串通嫌疑的投标文件以及相关材料及时移交</w:t>
            </w:r>
            <w:r>
              <w:rPr>
                <w:rFonts w:hint="eastAsia"/>
              </w:rPr>
              <w:t>招标人的招标管理</w:t>
            </w:r>
            <w:r>
              <w:t>部门，</w:t>
            </w:r>
            <w:r>
              <w:rPr>
                <w:rFonts w:hint="eastAsia"/>
              </w:rPr>
              <w:t xml:space="preserve"> 招标</w:t>
            </w:r>
            <w:r>
              <w:t>人</w:t>
            </w:r>
            <w:r>
              <w:rPr>
                <w:rFonts w:hint="eastAsia"/>
              </w:rPr>
              <w:t>有权不予退还其投标保证金且列入招标人禁止交易名单或不良</w:t>
            </w:r>
            <w:r>
              <w:t>信用记录名单</w:t>
            </w:r>
            <w:r>
              <w:rPr>
                <w:rFonts w:hint="eastAsia"/>
              </w:rPr>
              <w:t>，</w:t>
            </w:r>
            <w:r>
              <w:t>即使最终无法认定串通投标行为成立，也不影响对其按无效标处理的结果。</w:t>
            </w:r>
          </w:p>
          <w:p>
            <w:pPr>
              <w:adjustRightInd w:val="0"/>
              <w:snapToGrid w:val="0"/>
            </w:pPr>
            <w:r>
              <w:rPr>
                <w:rFonts w:hint="eastAsia"/>
              </w:rPr>
              <w:t>2、</w:t>
            </w:r>
            <w:r>
              <w:t>定标前招标人有权派员对中标候选人投标时选用的投标业绩进行核</w:t>
            </w:r>
            <w:r>
              <w:rPr>
                <w:rFonts w:hint="eastAsia"/>
              </w:rPr>
              <w:t>查</w:t>
            </w:r>
            <w:r>
              <w:t>，以确认其业绩真实情况，中标候选人必须积极配合业绩核</w:t>
            </w:r>
            <w:r>
              <w:rPr>
                <w:rFonts w:hint="eastAsia"/>
              </w:rPr>
              <w:t>查</w:t>
            </w:r>
            <w:r>
              <w:t>，如查实存在弄虚作假行为</w:t>
            </w:r>
            <w:r>
              <w:rPr>
                <w:rFonts w:hint="eastAsia"/>
              </w:rPr>
              <w:t>，</w:t>
            </w:r>
            <w:r>
              <w:t>则其投标保证金</w:t>
            </w:r>
            <w:r>
              <w:rPr>
                <w:rFonts w:hint="eastAsia"/>
              </w:rPr>
              <w:t>招标人有权</w:t>
            </w:r>
            <w:r>
              <w:t>不予退还并</w:t>
            </w:r>
            <w:r>
              <w:rPr>
                <w:rFonts w:hint="eastAsia"/>
              </w:rPr>
              <w:t>列入招标人的禁止交易名单或不良</w:t>
            </w:r>
            <w:r>
              <w:t>信用记录名单。</w:t>
            </w:r>
          </w:p>
          <w:p>
            <w:pPr>
              <w:adjustRightInd w:val="0"/>
              <w:snapToGrid w:val="0"/>
            </w:pPr>
            <w:r>
              <w:rPr>
                <w:rFonts w:hint="eastAsia"/>
              </w:rPr>
              <w:t>3、本项目中标合同与杭州萧山国际机场有限公司签订。</w:t>
            </w:r>
          </w:p>
          <w:p>
            <w:pPr>
              <w:adjustRightInd w:val="0"/>
              <w:snapToGrid w:val="0"/>
            </w:pPr>
            <w:r>
              <w:rPr>
                <w:rFonts w:hint="eastAsia"/>
              </w:rPr>
              <w:t>4、投标人须知前附表与投标人须知不一致之处，以投标人前附表为准。</w:t>
            </w:r>
          </w:p>
          <w:p>
            <w:pPr>
              <w:autoSpaceDE w:val="0"/>
              <w:autoSpaceDN w:val="0"/>
              <w:adjustRightInd w:val="0"/>
              <w:snapToGrid w:val="0"/>
              <w:jc w:val="left"/>
              <w:rPr>
                <w:rFonts w:ascii="宋体" w:hAnsi="宋体" w:cs="宋体"/>
                <w:sz w:val="22"/>
              </w:rPr>
            </w:pPr>
            <w:r>
              <w:rPr>
                <w:rFonts w:hint="eastAsia" w:ascii="宋体" w:hAnsi="宋体" w:cs="Arial"/>
              </w:rPr>
              <w:t>5.</w:t>
            </w:r>
            <w:r>
              <w:rPr>
                <w:rFonts w:ascii="宋体" w:hAnsi="宋体" w:cs="宋体"/>
                <w:sz w:val="22"/>
              </w:rPr>
              <w:t>特别说明：</w:t>
            </w:r>
          </w:p>
          <w:p>
            <w:pPr>
              <w:autoSpaceDE w:val="0"/>
              <w:autoSpaceDN w:val="0"/>
              <w:adjustRightInd w:val="0"/>
              <w:snapToGrid w:val="0"/>
              <w:jc w:val="left"/>
              <w:rPr>
                <w:rFonts w:ascii="宋体" w:hAnsi="宋体" w:cs="宋体"/>
                <w:b/>
                <w:bCs/>
                <w:sz w:val="22"/>
              </w:rPr>
            </w:pPr>
            <w:r>
              <w:rPr>
                <w:rFonts w:hint="eastAsia" w:ascii="宋体" w:hAnsi="宋体" w:cs="宋体"/>
              </w:rPr>
              <w:t>★</w:t>
            </w:r>
            <w:r>
              <w:rPr>
                <w:rFonts w:ascii="宋体" w:hAnsi="宋体" w:cs="宋体"/>
                <w:b/>
                <w:bCs/>
                <w:sz w:val="22"/>
              </w:rPr>
              <w:t>（1）最低投标用工数：本</w:t>
            </w:r>
            <w:r>
              <w:rPr>
                <w:rFonts w:hint="eastAsia" w:ascii="宋体" w:hAnsi="宋体" w:cs="宋体"/>
                <w:b/>
                <w:bCs/>
                <w:sz w:val="22"/>
              </w:rPr>
              <w:t>项目</w:t>
            </w:r>
            <w:r>
              <w:rPr>
                <w:rFonts w:ascii="宋体" w:hAnsi="宋体" w:cs="宋体"/>
                <w:b/>
                <w:bCs/>
                <w:sz w:val="22"/>
              </w:rPr>
              <w:t>现场人员最低投标用工人数为20人（含</w:t>
            </w:r>
            <w:r>
              <w:rPr>
                <w:rFonts w:hint="eastAsia" w:ascii="宋体" w:hAnsi="宋体" w:cs="宋体"/>
                <w:b/>
                <w:bCs/>
                <w:sz w:val="22"/>
              </w:rPr>
              <w:t>管理人员</w:t>
            </w:r>
            <w:r>
              <w:rPr>
                <w:rFonts w:ascii="宋体" w:hAnsi="宋体" w:cs="宋体"/>
                <w:b/>
                <w:bCs/>
                <w:sz w:val="22"/>
              </w:rPr>
              <w:t>）。若投标用工人数低于该数值，予以否决</w:t>
            </w:r>
            <w:r>
              <w:rPr>
                <w:rFonts w:hint="eastAsia" w:ascii="宋体" w:hAnsi="宋体" w:cs="宋体"/>
                <w:b/>
                <w:bCs/>
                <w:sz w:val="22"/>
              </w:rPr>
              <w:t>投标</w:t>
            </w:r>
            <w:r>
              <w:rPr>
                <w:rFonts w:ascii="宋体" w:hAnsi="宋体" w:cs="宋体"/>
                <w:b/>
                <w:bCs/>
                <w:sz w:val="22"/>
              </w:rPr>
              <w:t>处理。</w:t>
            </w:r>
          </w:p>
          <w:p>
            <w:pPr>
              <w:pStyle w:val="2"/>
              <w:ind w:firstLine="0" w:firstLineChars="0"/>
            </w:pPr>
            <w:r>
              <w:rPr>
                <w:rFonts w:hint="eastAsia" w:ascii="宋体" w:hAnsi="宋体" w:cs="宋体"/>
                <w:b/>
                <w:bCs/>
                <w:sz w:val="22"/>
              </w:rPr>
              <w:t>（2）航站楼租摆盆花的摆放品种、数量、规格、布局必须符合招标方提出航站楼的需求和标准。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6" w:type="first"/>
          <w:headerReference r:id="rId4" w:type="default"/>
          <w:footerReference r:id="rId7" w:type="default"/>
          <w:headerReference r:id="rId5" w:type="even"/>
          <w:footerReference r:id="rId8"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19"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航站楼环境景观绿化综合项目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(2)与本招标项目的其他投标人为同一个单位负责人或存在其他关联关系；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近3年（2016年1月1日起至投标截止日止）</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1</w:t>
      </w:r>
      <w:r>
        <w:rPr>
          <w:rFonts w:hint="eastAsia" w:ascii="宋体" w:hAnsi="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1</w:t>
      </w:r>
      <w:r>
        <w:rPr>
          <w:rFonts w:hint="eastAsia" w:ascii="宋体" w:hAnsi="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w:t>
      </w:r>
      <w:r>
        <w:rPr>
          <w:rFonts w:ascii="宋体" w:hAnsi="宋体" w:cs="宋体"/>
          <w:b/>
          <w:kern w:val="0"/>
          <w:sz w:val="22"/>
        </w:rPr>
        <w:t>2</w:t>
      </w:r>
      <w:r>
        <w:rPr>
          <w:rFonts w:hint="eastAsia" w:ascii="宋体" w:hAnsi="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w:t>
      </w:r>
      <w:r>
        <w:rPr>
          <w:rFonts w:ascii="宋体" w:hAnsi="宋体" w:cs="宋体"/>
          <w:kern w:val="0"/>
          <w:sz w:val="22"/>
        </w:rPr>
        <w:t>2</w:t>
      </w:r>
      <w:r>
        <w:rPr>
          <w:rFonts w:hint="eastAsia" w:ascii="宋体" w:hAnsi="宋体" w:cs="宋体"/>
          <w:kern w:val="0"/>
          <w:sz w:val="22"/>
        </w:rPr>
        <w:t>.1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1.9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杭州萧山国际机场有限公司主页招投标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杭州萧山国际机场有限公司主页招投标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②信用中国网站www.creditchina.gov.cn 、中国裁判文书网http://wenshu.court.gov.cn查询结果以及主管税务部门出具的一般纳税人资格认定《税务事项通知书》或《增值税一般纳税人登记表》或投标人电子税务局一般纳税人资格查询网页。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⑨投入本项目服务的仪器、仪表、设备及交通工具汇总表。技术参数、结构及性能特点等产品技术规格书。</w:t>
      </w:r>
    </w:p>
    <w:p>
      <w:pPr>
        <w:pStyle w:val="2"/>
        <w:ind w:firstLine="630" w:firstLineChars="300"/>
      </w:pPr>
      <w:r>
        <w:rPr>
          <w:rFonts w:hint="eastAsia" w:ascii="宋体" w:hAnsi="宋体" w:cs="宋体"/>
        </w:rPr>
        <w:t>⑩</w:t>
      </w:r>
      <w:r>
        <w:rPr>
          <w:rFonts w:hint="eastAsia" w:ascii="宋体" w:hAnsi="宋体" w:cs="宋体"/>
          <w:color w:val="000000"/>
          <w:sz w:val="22"/>
        </w:rPr>
        <w:t>花堆设计图稿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(7)投标单位优势及其他；</w:t>
      </w:r>
    </w:p>
    <w:p>
      <w:pPr>
        <w:autoSpaceDE w:val="0"/>
        <w:autoSpaceDN w:val="0"/>
        <w:adjustRightInd w:val="0"/>
        <w:snapToGrid w:val="0"/>
        <w:spacing w:line="360" w:lineRule="exact"/>
        <w:ind w:firstLine="440" w:firstLineChars="200"/>
        <w:rPr>
          <w:rFonts w:ascii="宋体" w:hAnsi="宋体" w:cs="宋体"/>
          <w:sz w:val="22"/>
        </w:rPr>
      </w:pPr>
      <w:r>
        <w:rPr>
          <w:rFonts w:hint="eastAsia" w:ascii="宋体" w:hAnsi="宋体" w:cs="宋体"/>
          <w:kern w:val="0"/>
          <w:sz w:val="22"/>
        </w:rPr>
        <w:t>(8)</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投标报价为投标</w:t>
      </w:r>
      <w:r>
        <w:rPr>
          <w:rFonts w:ascii="宋体" w:hAnsi="宋体" w:cs="宋体"/>
          <w:kern w:val="0"/>
          <w:sz w:val="22"/>
        </w:rPr>
        <w:t>报价表</w:t>
      </w:r>
      <w:r>
        <w:rPr>
          <w:rFonts w:hint="eastAsia" w:ascii="宋体" w:hAnsi="宋体" w:cs="宋体"/>
          <w:kern w:val="0"/>
          <w:sz w:val="22"/>
        </w:rPr>
        <w:t>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ascii="宋体" w:hAnsi="宋体" w:cs="宋体"/>
          <w:kern w:val="0"/>
          <w:sz w:val="22"/>
        </w:rPr>
        <w:t>120</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不得涂改、行间插字或删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如果包封上没有按上述规定密封并加以标记，招标人将不承担投标文件错放或提前开封或密封破损的责任。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0" w:name="_Toc15553"/>
      <w:bookmarkStart w:id="21" w:name="_Toc220123242"/>
      <w:bookmarkStart w:id="22"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0"/>
      <w:bookmarkEnd w:id="21"/>
      <w:bookmarkEnd w:id="22"/>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3" w:name="_Toc219809803"/>
      <w:bookmarkStart w:id="24" w:name="_Toc18806"/>
      <w:bookmarkStart w:id="25" w:name="_Toc220123243"/>
      <w:r>
        <w:rPr>
          <w:rFonts w:hint="eastAsia" w:ascii="宋体" w:hAnsi="宋体" w:cs="宋体"/>
          <w:b/>
          <w:kern w:val="0"/>
          <w:sz w:val="22"/>
        </w:rPr>
        <w:t>8.2 不再招标</w:t>
      </w:r>
      <w:bookmarkEnd w:id="23"/>
      <w:bookmarkEnd w:id="24"/>
      <w:bookmarkEnd w:id="25"/>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19"/>
    <w:p>
      <w:pPr>
        <w:pStyle w:val="7"/>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3"/>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3"/>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8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p>
            <w:pPr>
              <w:pStyle w:val="1850"/>
              <w:spacing w:line="360" w:lineRule="exact"/>
              <w:jc w:val="center"/>
              <w:rPr>
                <w:rFonts w:ascii="宋体" w:hAnsi="宋体" w:cs="宋体"/>
                <w:sz w:val="22"/>
              </w:rPr>
            </w:pPr>
            <w:r>
              <w:rPr>
                <w:rFonts w:hint="eastAsia" w:ascii="宋体" w:hAnsi="宋体" w:cs="宋体"/>
                <w:sz w:val="22"/>
              </w:rPr>
              <w:t>（万元）</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3"/>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3"/>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7"/>
        <w:spacing w:line="363" w:lineRule="exact"/>
        <w:ind w:right="113"/>
        <w:jc w:val="left"/>
      </w:pPr>
      <w:bookmarkStart w:id="26" w:name="_bookmark76"/>
      <w:bookmarkEnd w:id="26"/>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7" w:name="_bookmark77"/>
      <w:bookmarkEnd w:id="27"/>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9" w:type="default"/>
          <w:footerReference r:id="rId10"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7"/>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8" w:name="_bookmark78"/>
      <w:bookmarkEnd w:id="28"/>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7"/>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7"/>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5"/>
          <w:sz w:val="40"/>
          <w:szCs w:val="40"/>
        </w:rPr>
        <w:sectPr>
          <w:footerReference r:id="rId11" w:type="default"/>
          <w:footerReference r:id="rId12" w:type="even"/>
          <w:pgSz w:w="11906" w:h="16838"/>
          <w:pgMar w:top="1701" w:right="1588" w:bottom="1588" w:left="1588" w:header="851" w:footer="992" w:gutter="0"/>
          <w:cols w:space="720" w:num="1"/>
          <w:docGrid w:linePitch="312" w:charSpace="0"/>
        </w:sectPr>
      </w:pPr>
    </w:p>
    <w:p>
      <w:pPr>
        <w:pStyle w:val="4"/>
        <w:spacing w:line="564" w:lineRule="exact"/>
        <w:ind w:right="57"/>
        <w:jc w:val="center"/>
        <w:rPr>
          <w:b w:val="0"/>
          <w:bCs w:val="0"/>
        </w:rPr>
      </w:pPr>
      <w:bookmarkStart w:id="29" w:name="_Toc19698497"/>
      <w:r>
        <w:rPr>
          <w:rFonts w:hint="eastAsia"/>
          <w:b w:val="0"/>
          <w:bCs w:val="0"/>
        </w:rPr>
        <w:t>第三章</w:t>
      </w:r>
      <w:r>
        <w:rPr>
          <w:b w:val="0"/>
          <w:bCs w:val="0"/>
        </w:rPr>
        <w:t xml:space="preserve">  </w:t>
      </w:r>
      <w:r>
        <w:rPr>
          <w:rFonts w:hint="eastAsia"/>
          <w:b w:val="0"/>
          <w:bCs w:val="0"/>
        </w:rPr>
        <w:t>评标办法</w:t>
      </w:r>
      <w:bookmarkEnd w:id="29"/>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outlineLvl w:val="1"/>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outlineLvl w:val="1"/>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433" w:firstLineChars="196"/>
        <w:outlineLvl w:val="1"/>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snapToGrid w:val="0"/>
        <w:spacing w:line="360" w:lineRule="exact"/>
        <w:ind w:firstLine="433" w:firstLineChars="196"/>
        <w:outlineLvl w:val="1"/>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（5）服务期不满足招标文件要求的；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涉及本文件投标人资格条件3.1第2至4款，若投标人采用承诺方式的，评标委员会有权通过信用中国网站</w:t>
      </w:r>
      <w:r>
        <w:fldChar w:fldCharType="begin"/>
      </w:r>
      <w:r>
        <w:instrText xml:space="preserve"> HYPERLINK "http://www.creditchina.gov.cn" </w:instrText>
      </w:r>
      <w:r>
        <w:fldChar w:fldCharType="separate"/>
      </w:r>
      <w:r>
        <w:rPr>
          <w:rFonts w:hint="eastAsia" w:ascii="宋体" w:hAnsi="宋体" w:cs="宋体"/>
          <w:sz w:val="22"/>
        </w:rPr>
        <w:t>www.creditchina.gov.cn</w:t>
      </w:r>
      <w:r>
        <w:rPr>
          <w:rFonts w:hint="eastAsia" w:ascii="宋体" w:hAnsi="宋体" w:cs="宋体"/>
          <w:sz w:val="22"/>
        </w:rPr>
        <w:fldChar w:fldCharType="end"/>
      </w:r>
      <w:r>
        <w:rPr>
          <w:rFonts w:hint="eastAsia" w:ascii="宋体" w:hAnsi="宋体" w:cs="宋体"/>
          <w:sz w:val="22"/>
        </w:rPr>
        <w:t>、中国裁判文书网</w:t>
      </w:r>
      <w:r>
        <w:rPr>
          <w:rFonts w:hint="eastAsia"/>
        </w:rPr>
        <w:fldChar w:fldCharType="begin"/>
      </w:r>
      <w:r>
        <w:instrText xml:space="preserve"> HYPERLINK "http://wenshu.court.gov.cn" </w:instrText>
      </w:r>
      <w:r>
        <w:rPr>
          <w:rFonts w:hint="eastAsia"/>
        </w:rPr>
        <w:fldChar w:fldCharType="separate"/>
      </w:r>
      <w:r>
        <w:rPr>
          <w:rFonts w:hint="eastAsia" w:ascii="宋体" w:hAnsi="宋体" w:cs="宋体"/>
          <w:sz w:val="22"/>
        </w:rPr>
        <w:t>http://wenshu.court.gov.cn</w:t>
      </w:r>
      <w:r>
        <w:rPr>
          <w:rFonts w:hint="eastAsia" w:ascii="宋体" w:hAnsi="宋体" w:cs="宋体"/>
          <w:sz w:val="22"/>
        </w:rPr>
        <w:fldChar w:fldCharType="end"/>
      </w:r>
      <w:r>
        <w:rPr>
          <w:rFonts w:hint="eastAsia" w:ascii="宋体" w:hAnsi="宋体" w:cs="宋体"/>
          <w:sz w:val="22"/>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ascii="Segoe UI Emoji" w:hAnsi="Segoe UI Emoji" w:cs="Segoe UI Emoji"/>
          </w:rPr>
          <w:id w:val="-174959641"/>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b/>
          <w:sz w:val="22"/>
        </w:rPr>
        <w:t xml:space="preserve"> </w:t>
      </w:r>
      <w:r>
        <w:rPr>
          <w:rFonts w:ascii="宋体" w:hAnsi="宋体" w:cs="宋体"/>
          <w:b/>
          <w:sz w:val="22"/>
        </w:rPr>
        <w:t>40分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89"/>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615"/>
        <w:gridCol w:w="5843"/>
        <w:gridCol w:w="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679" w:type="dxa"/>
            <w:vAlign w:val="center"/>
          </w:tcPr>
          <w:p>
            <w:pPr>
              <w:pStyle w:val="41"/>
              <w:adjustRightInd w:val="0"/>
              <w:snapToGrid w:val="0"/>
              <w:spacing w:line="360" w:lineRule="exact"/>
              <w:jc w:val="center"/>
              <w:rPr>
                <w:rFonts w:hAnsi="宋体"/>
                <w:color w:val="000000"/>
                <w:sz w:val="22"/>
                <w:szCs w:val="22"/>
              </w:rPr>
            </w:pPr>
            <w:r>
              <w:rPr>
                <w:rFonts w:hint="eastAsia" w:hAnsi="宋体"/>
                <w:color w:val="000000"/>
                <w:sz w:val="22"/>
                <w:szCs w:val="22"/>
              </w:rPr>
              <w:t>序号</w:t>
            </w:r>
          </w:p>
        </w:tc>
        <w:tc>
          <w:tcPr>
            <w:tcW w:w="1615" w:type="dxa"/>
            <w:vAlign w:val="center"/>
          </w:tcPr>
          <w:p>
            <w:pPr>
              <w:pStyle w:val="41"/>
              <w:adjustRightInd w:val="0"/>
              <w:snapToGrid w:val="0"/>
              <w:spacing w:line="360" w:lineRule="exact"/>
              <w:jc w:val="center"/>
              <w:rPr>
                <w:rFonts w:hAnsi="宋体"/>
                <w:color w:val="000000"/>
                <w:sz w:val="22"/>
                <w:szCs w:val="22"/>
              </w:rPr>
            </w:pPr>
            <w:r>
              <w:rPr>
                <w:rFonts w:hint="eastAsia" w:hAnsi="宋体"/>
                <w:color w:val="000000"/>
                <w:sz w:val="22"/>
                <w:szCs w:val="22"/>
              </w:rPr>
              <w:t>评分内容</w:t>
            </w:r>
          </w:p>
        </w:tc>
        <w:tc>
          <w:tcPr>
            <w:tcW w:w="5843" w:type="dxa"/>
            <w:vAlign w:val="center"/>
          </w:tcPr>
          <w:p>
            <w:pPr>
              <w:pStyle w:val="41"/>
              <w:adjustRightInd w:val="0"/>
              <w:snapToGrid w:val="0"/>
              <w:spacing w:line="360" w:lineRule="exact"/>
              <w:jc w:val="center"/>
              <w:rPr>
                <w:rFonts w:hAnsi="宋体"/>
                <w:color w:val="000000"/>
                <w:sz w:val="22"/>
                <w:szCs w:val="22"/>
              </w:rPr>
            </w:pPr>
            <w:r>
              <w:rPr>
                <w:rFonts w:hint="eastAsia" w:hAnsi="宋体"/>
                <w:color w:val="000000"/>
                <w:sz w:val="22"/>
                <w:szCs w:val="22"/>
              </w:rPr>
              <w:t>评分标准说明</w:t>
            </w:r>
          </w:p>
        </w:tc>
        <w:tc>
          <w:tcPr>
            <w:tcW w:w="809" w:type="dxa"/>
            <w:vAlign w:val="center"/>
          </w:tcPr>
          <w:p>
            <w:pPr>
              <w:pStyle w:val="41"/>
              <w:adjustRightInd w:val="0"/>
              <w:snapToGrid w:val="0"/>
              <w:spacing w:line="360" w:lineRule="exact"/>
              <w:jc w:val="center"/>
              <w:rPr>
                <w:rFonts w:hAnsi="宋体"/>
                <w:color w:val="000000"/>
                <w:sz w:val="22"/>
                <w:szCs w:val="22"/>
              </w:rPr>
            </w:pPr>
            <w:r>
              <w:rPr>
                <w:rFonts w:hAnsi="宋体"/>
                <w:color w:val="000000"/>
                <w:sz w:val="22"/>
                <w:szCs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15" w:hRule="atLeast"/>
        </w:trPr>
        <w:tc>
          <w:tcPr>
            <w:tcW w:w="679" w:type="dxa"/>
            <w:vAlign w:val="center"/>
          </w:tcPr>
          <w:p>
            <w:pPr>
              <w:pStyle w:val="41"/>
              <w:adjustRightInd w:val="0"/>
              <w:snapToGrid w:val="0"/>
              <w:spacing w:line="360" w:lineRule="exact"/>
              <w:jc w:val="center"/>
              <w:rPr>
                <w:rFonts w:hAnsi="宋体"/>
                <w:color w:val="000000"/>
                <w:sz w:val="22"/>
                <w:szCs w:val="22"/>
              </w:rPr>
            </w:pPr>
            <w:r>
              <w:rPr>
                <w:rFonts w:hint="eastAsia" w:hAnsi="宋体"/>
                <w:color w:val="000000"/>
                <w:sz w:val="22"/>
                <w:szCs w:val="22"/>
              </w:rPr>
              <w:t>1</w:t>
            </w:r>
          </w:p>
        </w:tc>
        <w:tc>
          <w:tcPr>
            <w:tcW w:w="1615" w:type="dxa"/>
            <w:vAlign w:val="center"/>
          </w:tcPr>
          <w:p>
            <w:pPr>
              <w:pStyle w:val="41"/>
              <w:adjustRightInd w:val="0"/>
              <w:snapToGrid w:val="0"/>
              <w:spacing w:line="360" w:lineRule="exact"/>
              <w:jc w:val="center"/>
              <w:rPr>
                <w:rFonts w:hAnsi="宋体"/>
                <w:color w:val="000000"/>
                <w:sz w:val="22"/>
                <w:szCs w:val="22"/>
              </w:rPr>
            </w:pPr>
            <w:r>
              <w:rPr>
                <w:rFonts w:hint="eastAsia" w:hAnsi="宋体"/>
                <w:sz w:val="24"/>
              </w:rPr>
              <w:t>资信标评审</w:t>
            </w:r>
          </w:p>
        </w:tc>
        <w:tc>
          <w:tcPr>
            <w:tcW w:w="5843" w:type="dxa"/>
            <w:vAlign w:val="center"/>
          </w:tcPr>
          <w:p>
            <w:pPr>
              <w:pStyle w:val="41"/>
              <w:numPr>
                <w:ilvl w:val="255"/>
                <w:numId w:val="0"/>
              </w:numPr>
              <w:adjustRightInd w:val="0"/>
              <w:snapToGrid w:val="0"/>
              <w:spacing w:line="360" w:lineRule="exact"/>
              <w:jc w:val="left"/>
              <w:rPr>
                <w:rFonts w:hAnsi="宋体"/>
                <w:color w:val="000000"/>
                <w:sz w:val="22"/>
                <w:szCs w:val="22"/>
              </w:rPr>
            </w:pPr>
            <w:r>
              <w:rPr>
                <w:rFonts w:hint="eastAsia" w:hAnsi="宋体"/>
                <w:color w:val="000000"/>
                <w:sz w:val="22"/>
                <w:szCs w:val="22"/>
              </w:rPr>
              <w:t>（1）企业盆花摆放业绩：投标人合同签订时间或部分服务期在</w:t>
            </w:r>
            <w:r>
              <w:rPr>
                <w:rFonts w:hAnsi="宋体"/>
                <w:color w:val="000000"/>
                <w:sz w:val="22"/>
                <w:szCs w:val="22"/>
              </w:rPr>
              <w:t>2016</w:t>
            </w:r>
            <w:r>
              <w:rPr>
                <w:rFonts w:hint="eastAsia" w:hAnsi="宋体"/>
                <w:color w:val="000000"/>
                <w:sz w:val="22"/>
                <w:szCs w:val="22"/>
              </w:rPr>
              <w:t>年</w:t>
            </w:r>
            <w:r>
              <w:rPr>
                <w:rFonts w:hAnsi="宋体"/>
                <w:color w:val="000000"/>
                <w:sz w:val="22"/>
                <w:szCs w:val="22"/>
              </w:rPr>
              <w:t>1</w:t>
            </w:r>
            <w:r>
              <w:rPr>
                <w:rFonts w:hint="eastAsia" w:hAnsi="宋体"/>
                <w:color w:val="000000"/>
                <w:sz w:val="22"/>
                <w:szCs w:val="22"/>
              </w:rPr>
              <w:t>月</w:t>
            </w:r>
            <w:r>
              <w:rPr>
                <w:rFonts w:hAnsi="宋体"/>
                <w:color w:val="000000"/>
                <w:sz w:val="22"/>
                <w:szCs w:val="22"/>
              </w:rPr>
              <w:t>1</w:t>
            </w:r>
            <w:r>
              <w:rPr>
                <w:rFonts w:hint="eastAsia" w:hAnsi="宋体"/>
                <w:color w:val="000000"/>
                <w:sz w:val="22"/>
                <w:szCs w:val="22"/>
              </w:rPr>
              <w:t>日至投标截止日期间完成园林绿化、花卉苗木租赁、盆花摆放业绩：</w:t>
            </w:r>
          </w:p>
          <w:p>
            <w:pPr>
              <w:pStyle w:val="41"/>
              <w:numPr>
                <w:ilvl w:val="255"/>
                <w:numId w:val="0"/>
              </w:numPr>
              <w:adjustRightInd w:val="0"/>
              <w:snapToGrid w:val="0"/>
              <w:spacing w:line="360" w:lineRule="exact"/>
              <w:jc w:val="left"/>
              <w:rPr>
                <w:rFonts w:hAnsi="宋体"/>
                <w:color w:val="000000"/>
                <w:sz w:val="22"/>
                <w:szCs w:val="22"/>
              </w:rPr>
            </w:pPr>
            <w:r>
              <w:rPr>
                <w:rFonts w:hint="eastAsia" w:hAnsi="宋体"/>
                <w:color w:val="000000"/>
                <w:sz w:val="22"/>
                <w:szCs w:val="22"/>
              </w:rPr>
              <w:t>1）投标人同时具有园林绿化和花卉苗木租赁项目业绩得</w:t>
            </w:r>
            <w:r>
              <w:rPr>
                <w:rFonts w:hAnsi="宋体"/>
                <w:color w:val="000000"/>
                <w:sz w:val="22"/>
                <w:szCs w:val="22"/>
              </w:rPr>
              <w:t>2</w:t>
            </w:r>
            <w:r>
              <w:rPr>
                <w:rFonts w:hint="eastAsia" w:hAnsi="宋体"/>
                <w:color w:val="000000"/>
                <w:sz w:val="22"/>
                <w:szCs w:val="22"/>
              </w:rPr>
              <w:t>分，具有</w:t>
            </w:r>
            <w:r>
              <w:rPr>
                <w:rFonts w:hAnsi="宋体"/>
                <w:color w:val="000000"/>
                <w:sz w:val="22"/>
                <w:szCs w:val="22"/>
              </w:rPr>
              <w:t>1</w:t>
            </w:r>
            <w:r>
              <w:rPr>
                <w:rFonts w:hint="eastAsia" w:hAnsi="宋体"/>
                <w:color w:val="000000"/>
                <w:sz w:val="22"/>
                <w:szCs w:val="22"/>
              </w:rPr>
              <w:t>项园林绿化或花卉苗木租赁项目业绩得</w:t>
            </w:r>
            <w:r>
              <w:rPr>
                <w:rFonts w:hAnsi="宋体"/>
                <w:color w:val="000000"/>
                <w:sz w:val="22"/>
                <w:szCs w:val="22"/>
              </w:rPr>
              <w:t>1</w:t>
            </w:r>
            <w:r>
              <w:rPr>
                <w:rFonts w:hint="eastAsia" w:hAnsi="宋体"/>
                <w:color w:val="000000"/>
                <w:sz w:val="22"/>
                <w:szCs w:val="22"/>
              </w:rPr>
              <w:t>分，都不具有得</w:t>
            </w:r>
            <w:r>
              <w:rPr>
                <w:rFonts w:hAnsi="宋体"/>
                <w:color w:val="000000"/>
                <w:sz w:val="22"/>
                <w:szCs w:val="22"/>
              </w:rPr>
              <w:t>0</w:t>
            </w:r>
            <w:r>
              <w:rPr>
                <w:rFonts w:hint="eastAsia" w:hAnsi="宋体"/>
                <w:color w:val="000000"/>
                <w:sz w:val="22"/>
                <w:szCs w:val="22"/>
              </w:rPr>
              <w:t>分，最高</w:t>
            </w:r>
            <w:r>
              <w:rPr>
                <w:rFonts w:hAnsi="宋体"/>
                <w:color w:val="000000"/>
                <w:sz w:val="22"/>
                <w:szCs w:val="22"/>
              </w:rPr>
              <w:t>2</w:t>
            </w:r>
            <w:r>
              <w:rPr>
                <w:rFonts w:hint="eastAsia" w:hAnsi="宋体"/>
                <w:color w:val="000000"/>
                <w:sz w:val="22"/>
                <w:szCs w:val="22"/>
              </w:rPr>
              <w:t>分。</w:t>
            </w:r>
          </w:p>
          <w:p>
            <w:pPr>
              <w:pStyle w:val="41"/>
              <w:numPr>
                <w:ilvl w:val="255"/>
                <w:numId w:val="0"/>
              </w:numPr>
              <w:adjustRightInd w:val="0"/>
              <w:snapToGrid w:val="0"/>
              <w:spacing w:line="360" w:lineRule="exact"/>
              <w:jc w:val="left"/>
              <w:rPr>
                <w:rFonts w:hAnsi="宋体"/>
                <w:color w:val="000000"/>
                <w:sz w:val="22"/>
                <w:szCs w:val="22"/>
              </w:rPr>
            </w:pPr>
            <w:r>
              <w:rPr>
                <w:rFonts w:hAnsi="宋体"/>
                <w:color w:val="000000"/>
                <w:sz w:val="22"/>
                <w:szCs w:val="22"/>
              </w:rPr>
              <w:t>2</w:t>
            </w:r>
            <w:r>
              <w:rPr>
                <w:rFonts w:hint="eastAsia" w:hAnsi="宋体"/>
                <w:color w:val="000000"/>
                <w:sz w:val="22"/>
                <w:szCs w:val="22"/>
              </w:rPr>
              <w:t>）最高单项合同每年盆花摆放金额在</w:t>
            </w:r>
            <w:r>
              <w:rPr>
                <w:rFonts w:hAnsi="宋体"/>
                <w:color w:val="000000"/>
                <w:sz w:val="22"/>
                <w:szCs w:val="22"/>
              </w:rPr>
              <w:t>150</w:t>
            </w:r>
            <w:r>
              <w:rPr>
                <w:rFonts w:hint="eastAsia" w:hAnsi="宋体"/>
                <w:color w:val="000000"/>
                <w:sz w:val="22"/>
                <w:szCs w:val="22"/>
              </w:rPr>
              <w:t>万元及以上的得</w:t>
            </w:r>
            <w:r>
              <w:rPr>
                <w:rFonts w:hAnsi="宋体"/>
                <w:color w:val="000000"/>
                <w:sz w:val="22"/>
                <w:szCs w:val="22"/>
              </w:rPr>
              <w:t>2</w:t>
            </w:r>
            <w:r>
              <w:rPr>
                <w:rFonts w:hint="eastAsia" w:hAnsi="宋体"/>
                <w:color w:val="000000"/>
                <w:sz w:val="22"/>
                <w:szCs w:val="22"/>
              </w:rPr>
              <w:t>分，</w:t>
            </w:r>
            <w:r>
              <w:rPr>
                <w:rFonts w:hAnsi="宋体"/>
                <w:color w:val="000000"/>
                <w:sz w:val="22"/>
                <w:szCs w:val="22"/>
              </w:rPr>
              <w:t>100</w:t>
            </w:r>
            <w:r>
              <w:rPr>
                <w:rFonts w:hint="eastAsia" w:hAnsi="宋体"/>
                <w:color w:val="000000"/>
                <w:sz w:val="22"/>
                <w:szCs w:val="22"/>
              </w:rPr>
              <w:t>万元（含）至</w:t>
            </w:r>
            <w:r>
              <w:rPr>
                <w:rFonts w:hAnsi="宋体"/>
                <w:color w:val="000000"/>
                <w:sz w:val="22"/>
                <w:szCs w:val="22"/>
              </w:rPr>
              <w:t>150</w:t>
            </w:r>
            <w:r>
              <w:rPr>
                <w:rFonts w:hint="eastAsia" w:hAnsi="宋体"/>
                <w:color w:val="000000"/>
                <w:sz w:val="22"/>
                <w:szCs w:val="22"/>
              </w:rPr>
              <w:t>万元的得</w:t>
            </w:r>
            <w:r>
              <w:rPr>
                <w:rFonts w:hAnsi="宋体"/>
                <w:color w:val="000000"/>
                <w:sz w:val="22"/>
                <w:szCs w:val="22"/>
              </w:rPr>
              <w:t>1</w:t>
            </w:r>
            <w:r>
              <w:rPr>
                <w:rFonts w:hint="eastAsia" w:hAnsi="宋体"/>
                <w:color w:val="000000"/>
                <w:sz w:val="22"/>
                <w:szCs w:val="22"/>
              </w:rPr>
              <w:t>分，</w:t>
            </w:r>
            <w:r>
              <w:rPr>
                <w:rFonts w:hAnsi="宋体"/>
                <w:color w:val="000000"/>
                <w:sz w:val="22"/>
                <w:szCs w:val="22"/>
              </w:rPr>
              <w:t>50</w:t>
            </w:r>
            <w:r>
              <w:rPr>
                <w:rFonts w:hint="eastAsia" w:hAnsi="宋体"/>
                <w:color w:val="000000"/>
                <w:sz w:val="22"/>
                <w:szCs w:val="22"/>
              </w:rPr>
              <w:t>万元（含）至</w:t>
            </w:r>
            <w:r>
              <w:rPr>
                <w:rFonts w:hAnsi="宋体"/>
                <w:color w:val="000000"/>
                <w:sz w:val="22"/>
                <w:szCs w:val="22"/>
              </w:rPr>
              <w:t>100</w:t>
            </w:r>
            <w:r>
              <w:rPr>
                <w:rFonts w:hint="eastAsia" w:hAnsi="宋体"/>
                <w:color w:val="000000"/>
                <w:sz w:val="22"/>
                <w:szCs w:val="22"/>
              </w:rPr>
              <w:t>万元的得</w:t>
            </w:r>
            <w:r>
              <w:rPr>
                <w:rFonts w:hAnsi="宋体"/>
                <w:color w:val="000000"/>
                <w:sz w:val="22"/>
                <w:szCs w:val="22"/>
              </w:rPr>
              <w:t>0.5</w:t>
            </w:r>
            <w:r>
              <w:rPr>
                <w:rFonts w:hint="eastAsia" w:hAnsi="宋体"/>
                <w:color w:val="000000"/>
                <w:sz w:val="22"/>
                <w:szCs w:val="22"/>
              </w:rPr>
              <w:t>分，</w:t>
            </w:r>
            <w:r>
              <w:rPr>
                <w:rFonts w:hAnsi="宋体"/>
                <w:color w:val="000000"/>
                <w:sz w:val="22"/>
                <w:szCs w:val="22"/>
              </w:rPr>
              <w:t>50</w:t>
            </w:r>
            <w:r>
              <w:rPr>
                <w:rFonts w:hint="eastAsia" w:hAnsi="宋体"/>
                <w:color w:val="000000"/>
                <w:sz w:val="22"/>
                <w:szCs w:val="22"/>
              </w:rPr>
              <w:t>万元以下不得分，最高</w:t>
            </w:r>
            <w:r>
              <w:rPr>
                <w:rFonts w:hAnsi="宋体"/>
                <w:color w:val="000000"/>
                <w:sz w:val="22"/>
                <w:szCs w:val="22"/>
              </w:rPr>
              <w:t>2</w:t>
            </w:r>
            <w:r>
              <w:rPr>
                <w:rFonts w:hint="eastAsia" w:hAnsi="宋体"/>
                <w:color w:val="000000"/>
                <w:sz w:val="22"/>
                <w:szCs w:val="22"/>
              </w:rPr>
              <w:t>分。</w:t>
            </w:r>
          </w:p>
          <w:p>
            <w:pPr>
              <w:pStyle w:val="41"/>
              <w:numPr>
                <w:ilvl w:val="255"/>
                <w:numId w:val="0"/>
              </w:numPr>
              <w:adjustRightInd w:val="0"/>
              <w:snapToGrid w:val="0"/>
              <w:spacing w:line="360" w:lineRule="exact"/>
              <w:jc w:val="left"/>
              <w:rPr>
                <w:rFonts w:hAnsi="宋体"/>
                <w:color w:val="000000"/>
                <w:sz w:val="22"/>
                <w:szCs w:val="22"/>
              </w:rPr>
            </w:pPr>
            <w:r>
              <w:rPr>
                <w:rFonts w:hint="eastAsia" w:hAnsi="宋体"/>
                <w:color w:val="000000"/>
                <w:sz w:val="22"/>
                <w:szCs w:val="22"/>
              </w:rPr>
              <w:t>须提供合同复印件并加盖公章，原件备查。</w:t>
            </w:r>
          </w:p>
          <w:p>
            <w:pPr>
              <w:pStyle w:val="41"/>
              <w:adjustRightInd w:val="0"/>
              <w:snapToGrid w:val="0"/>
              <w:spacing w:line="360" w:lineRule="exact"/>
              <w:jc w:val="left"/>
              <w:rPr>
                <w:rFonts w:hAnsi="宋体"/>
                <w:color w:val="000000"/>
                <w:sz w:val="22"/>
                <w:szCs w:val="22"/>
              </w:rPr>
            </w:pPr>
            <w:r>
              <w:rPr>
                <w:rFonts w:hint="eastAsia" w:hAnsi="宋体"/>
                <w:color w:val="000000"/>
                <w:sz w:val="22"/>
                <w:szCs w:val="22"/>
              </w:rPr>
              <w:t>（2）项目经理：拟投入项目经理具备园林工程师证书或园林设计证书得1分；具备绿化高级工证书得0.5分（最高1分）。</w:t>
            </w:r>
          </w:p>
          <w:p>
            <w:pPr>
              <w:pStyle w:val="41"/>
              <w:adjustRightInd w:val="0"/>
              <w:snapToGrid w:val="0"/>
              <w:spacing w:line="360" w:lineRule="exact"/>
              <w:jc w:val="left"/>
              <w:rPr>
                <w:rFonts w:hAnsi="宋体"/>
                <w:color w:val="000000"/>
                <w:sz w:val="22"/>
                <w:szCs w:val="22"/>
              </w:rPr>
            </w:pPr>
            <w:r>
              <w:rPr>
                <w:rFonts w:hint="eastAsia" w:hAnsi="宋体"/>
                <w:color w:val="000000"/>
                <w:sz w:val="22"/>
                <w:szCs w:val="22"/>
              </w:rPr>
              <w:t>（3）盆花摆放管理人员：拟投入盆花摆放管理人员具备园林技师证书、绿化高级工证书得1分（0-1分）。</w:t>
            </w:r>
          </w:p>
        </w:tc>
        <w:tc>
          <w:tcPr>
            <w:tcW w:w="809" w:type="dxa"/>
            <w:vAlign w:val="center"/>
          </w:tcPr>
          <w:p>
            <w:pPr>
              <w:pStyle w:val="41"/>
              <w:tabs>
                <w:tab w:val="left" w:pos="296"/>
              </w:tabs>
              <w:adjustRightInd w:val="0"/>
              <w:snapToGrid w:val="0"/>
              <w:spacing w:line="360" w:lineRule="exact"/>
              <w:jc w:val="center"/>
              <w:rPr>
                <w:rFonts w:hAnsi="宋体"/>
                <w:color w:val="000000"/>
                <w:sz w:val="22"/>
                <w:szCs w:val="22"/>
              </w:rPr>
            </w:pPr>
            <w:r>
              <w:rPr>
                <w:rFonts w:hint="eastAsia" w:hAnsi="宋体"/>
                <w:color w:val="000000"/>
                <w:sz w:val="22"/>
                <w:szCs w:val="22"/>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679" w:type="dxa"/>
            <w:vAlign w:val="center"/>
          </w:tcPr>
          <w:p>
            <w:pPr>
              <w:pStyle w:val="41"/>
              <w:adjustRightInd w:val="0"/>
              <w:snapToGrid w:val="0"/>
              <w:spacing w:line="360" w:lineRule="exact"/>
              <w:jc w:val="center"/>
              <w:rPr>
                <w:rFonts w:hAnsi="宋体"/>
                <w:color w:val="000000"/>
                <w:sz w:val="22"/>
                <w:szCs w:val="22"/>
              </w:rPr>
            </w:pPr>
            <w:r>
              <w:rPr>
                <w:rFonts w:hint="eastAsia" w:hAnsi="宋体"/>
                <w:color w:val="000000"/>
                <w:sz w:val="22"/>
                <w:szCs w:val="22"/>
              </w:rPr>
              <w:t>2</w:t>
            </w:r>
          </w:p>
        </w:tc>
        <w:tc>
          <w:tcPr>
            <w:tcW w:w="1615" w:type="dxa"/>
            <w:vAlign w:val="center"/>
          </w:tcPr>
          <w:p>
            <w:pPr>
              <w:pStyle w:val="41"/>
              <w:adjustRightInd w:val="0"/>
              <w:snapToGrid w:val="0"/>
              <w:spacing w:line="360" w:lineRule="exact"/>
              <w:jc w:val="center"/>
              <w:rPr>
                <w:rFonts w:hAnsi="宋体"/>
                <w:sz w:val="24"/>
              </w:rPr>
            </w:pPr>
            <w:r>
              <w:rPr>
                <w:rFonts w:hint="eastAsia" w:hAnsi="宋体" w:cs="Times New Roman"/>
                <w:sz w:val="24"/>
              </w:rPr>
              <w:t>航站楼环境景</w:t>
            </w:r>
            <w:r>
              <w:rPr>
                <w:rFonts w:hint="eastAsia" w:hAnsi="宋体" w:cs="Times New Roman"/>
                <w:kern w:val="0"/>
                <w:sz w:val="24"/>
              </w:rPr>
              <w:t>观</w:t>
            </w:r>
            <w:r>
              <w:rPr>
                <w:rFonts w:hint="eastAsia" w:hAnsi="宋体" w:cs="Times New Roman"/>
                <w:sz w:val="24"/>
              </w:rPr>
              <w:t>绿化综合项目</w:t>
            </w:r>
            <w:r>
              <w:rPr>
                <w:rFonts w:hint="eastAsia" w:hAnsi="宋体"/>
                <w:sz w:val="24"/>
              </w:rPr>
              <w:t>质量保证体系</w:t>
            </w:r>
          </w:p>
        </w:tc>
        <w:tc>
          <w:tcPr>
            <w:tcW w:w="5843" w:type="dxa"/>
            <w:vAlign w:val="center"/>
          </w:tcPr>
          <w:p>
            <w:pPr>
              <w:pStyle w:val="41"/>
              <w:adjustRightInd w:val="0"/>
              <w:snapToGrid w:val="0"/>
              <w:spacing w:line="360" w:lineRule="exact"/>
              <w:jc w:val="left"/>
              <w:rPr>
                <w:rFonts w:hAnsi="宋体"/>
                <w:color w:val="000000"/>
                <w:sz w:val="22"/>
                <w:szCs w:val="22"/>
              </w:rPr>
            </w:pPr>
            <w:r>
              <w:rPr>
                <w:rFonts w:hint="eastAsia" w:hAnsi="宋体"/>
                <w:color w:val="000000"/>
                <w:sz w:val="22"/>
                <w:szCs w:val="22"/>
              </w:rPr>
              <w:t>（1）全年</w:t>
            </w:r>
            <w:r>
              <w:rPr>
                <w:rFonts w:hint="eastAsia" w:hAnsi="宋体" w:cs="Courier New"/>
                <w:color w:val="000000"/>
                <w:sz w:val="22"/>
                <w:szCs w:val="22"/>
              </w:rPr>
              <w:t>景</w:t>
            </w:r>
            <w:r>
              <w:rPr>
                <w:rFonts w:hint="eastAsia" w:hAnsi="宋体" w:cs="Courier New"/>
                <w:color w:val="000000"/>
                <w:kern w:val="2"/>
                <w:sz w:val="22"/>
                <w:szCs w:val="22"/>
              </w:rPr>
              <w:t>观</w:t>
            </w:r>
            <w:r>
              <w:rPr>
                <w:rFonts w:hint="eastAsia" w:hAnsi="宋体" w:cs="Courier New"/>
                <w:color w:val="000000"/>
                <w:sz w:val="22"/>
                <w:szCs w:val="22"/>
              </w:rPr>
              <w:t>绿化</w:t>
            </w:r>
            <w:r>
              <w:rPr>
                <w:rFonts w:hint="eastAsia" w:hAnsi="宋体"/>
                <w:color w:val="000000"/>
                <w:sz w:val="22"/>
                <w:szCs w:val="22"/>
              </w:rPr>
              <w:t>计划及实施方案，</w:t>
            </w:r>
            <w:r>
              <w:rPr>
                <w:rFonts w:hint="eastAsia" w:hAnsi="宋体" w:cs="Courier New"/>
                <w:color w:val="000000"/>
                <w:sz w:val="22"/>
                <w:szCs w:val="22"/>
              </w:rPr>
              <w:t>盆花</w:t>
            </w:r>
            <w:r>
              <w:rPr>
                <w:rFonts w:hint="eastAsia" w:hAnsi="宋体"/>
                <w:color w:val="000000"/>
                <w:sz w:val="22"/>
                <w:szCs w:val="22"/>
              </w:rPr>
              <w:t>供应，</w:t>
            </w:r>
            <w:r>
              <w:rPr>
                <w:rFonts w:hint="eastAsia" w:hAnsi="宋体" w:cs="Courier New"/>
                <w:color w:val="000000"/>
                <w:sz w:val="22"/>
                <w:szCs w:val="22"/>
              </w:rPr>
              <w:t>景</w:t>
            </w:r>
            <w:r>
              <w:rPr>
                <w:rFonts w:hint="eastAsia" w:hAnsi="宋体" w:cs="Courier New"/>
                <w:color w:val="000000"/>
                <w:kern w:val="2"/>
                <w:sz w:val="22"/>
                <w:szCs w:val="22"/>
              </w:rPr>
              <w:t>观</w:t>
            </w:r>
            <w:r>
              <w:rPr>
                <w:rFonts w:hint="eastAsia" w:hAnsi="宋体" w:cs="Courier New"/>
                <w:color w:val="000000"/>
                <w:sz w:val="22"/>
                <w:szCs w:val="22"/>
              </w:rPr>
              <w:t>绿化</w:t>
            </w:r>
            <w:r>
              <w:rPr>
                <w:rFonts w:hint="eastAsia" w:hAnsi="宋体"/>
                <w:color w:val="000000"/>
                <w:sz w:val="22"/>
                <w:szCs w:val="22"/>
              </w:rPr>
              <w:t>质量管理保障体系（人员、制度）和控制措施、手段、方法是否能满足质量目标的实现（0-4分）。</w:t>
            </w:r>
          </w:p>
          <w:p>
            <w:pPr>
              <w:pStyle w:val="41"/>
              <w:adjustRightInd w:val="0"/>
              <w:snapToGrid w:val="0"/>
              <w:spacing w:line="360" w:lineRule="exact"/>
              <w:jc w:val="left"/>
              <w:rPr>
                <w:rFonts w:hAnsi="宋体"/>
                <w:color w:val="000000"/>
                <w:sz w:val="22"/>
                <w:szCs w:val="22"/>
              </w:rPr>
            </w:pPr>
            <w:r>
              <w:rPr>
                <w:rFonts w:hint="eastAsia" w:hAnsi="宋体"/>
                <w:color w:val="000000"/>
                <w:sz w:val="22"/>
                <w:szCs w:val="22"/>
              </w:rPr>
              <w:t>（2）项目期内</w:t>
            </w:r>
            <w:r>
              <w:rPr>
                <w:rFonts w:hint="eastAsia" w:hAnsi="宋体" w:cs="Courier New"/>
                <w:color w:val="000000"/>
                <w:sz w:val="22"/>
                <w:szCs w:val="22"/>
              </w:rPr>
              <w:t>景</w:t>
            </w:r>
            <w:r>
              <w:rPr>
                <w:rFonts w:hint="eastAsia" w:hAnsi="宋体" w:cs="Courier New"/>
                <w:color w:val="000000"/>
                <w:kern w:val="2"/>
                <w:sz w:val="22"/>
                <w:szCs w:val="22"/>
              </w:rPr>
              <w:t>观</w:t>
            </w:r>
            <w:r>
              <w:rPr>
                <w:rFonts w:hint="eastAsia" w:hAnsi="宋体" w:cs="Courier New"/>
                <w:color w:val="000000"/>
                <w:sz w:val="22"/>
                <w:szCs w:val="22"/>
              </w:rPr>
              <w:t>绿化</w:t>
            </w:r>
            <w:r>
              <w:rPr>
                <w:rFonts w:hint="eastAsia" w:hAnsi="宋体"/>
                <w:color w:val="000000"/>
                <w:sz w:val="22"/>
                <w:szCs w:val="22"/>
              </w:rPr>
              <w:t>供应、更换的措施是否可靠（</w:t>
            </w:r>
            <w:r>
              <w:rPr>
                <w:rFonts w:hAnsi="宋体"/>
                <w:color w:val="000000"/>
                <w:sz w:val="22"/>
                <w:szCs w:val="22"/>
              </w:rPr>
              <w:t>0-2分）。</w:t>
            </w:r>
          </w:p>
          <w:p>
            <w:pPr>
              <w:pStyle w:val="41"/>
              <w:adjustRightInd w:val="0"/>
              <w:snapToGrid w:val="0"/>
              <w:spacing w:line="360" w:lineRule="exact"/>
              <w:jc w:val="left"/>
              <w:rPr>
                <w:rFonts w:hAnsi="宋体"/>
                <w:color w:val="000000"/>
                <w:sz w:val="22"/>
                <w:szCs w:val="22"/>
              </w:rPr>
            </w:pPr>
            <w:r>
              <w:rPr>
                <w:rFonts w:hint="eastAsia" w:hAnsi="宋体"/>
                <w:color w:val="000000"/>
                <w:sz w:val="22"/>
                <w:szCs w:val="22"/>
              </w:rPr>
              <w:t>（</w:t>
            </w:r>
            <w:r>
              <w:rPr>
                <w:rFonts w:hAnsi="宋体"/>
                <w:color w:val="000000"/>
                <w:sz w:val="22"/>
                <w:szCs w:val="22"/>
              </w:rPr>
              <w:t>3）节假日及应急情况下的具体保证措施及方案制定（0-2分）。</w:t>
            </w:r>
          </w:p>
          <w:p>
            <w:pPr>
              <w:pStyle w:val="41"/>
              <w:adjustRightInd w:val="0"/>
              <w:snapToGrid w:val="0"/>
              <w:spacing w:line="360" w:lineRule="exact"/>
              <w:jc w:val="left"/>
              <w:rPr>
                <w:rFonts w:hAnsi="宋体"/>
                <w:color w:val="000000"/>
                <w:sz w:val="22"/>
                <w:szCs w:val="22"/>
              </w:rPr>
            </w:pPr>
            <w:r>
              <w:rPr>
                <w:rFonts w:hint="eastAsia" w:hAnsi="宋体"/>
                <w:color w:val="000000"/>
                <w:sz w:val="22"/>
                <w:szCs w:val="22"/>
              </w:rPr>
              <w:t>（4）自备苗圃等场地中植物的品种、数量、大小是否能满足航站楼盆花租摆需求（0-1分）。</w:t>
            </w:r>
          </w:p>
          <w:p>
            <w:pPr>
              <w:pStyle w:val="41"/>
              <w:adjustRightInd w:val="0"/>
              <w:snapToGrid w:val="0"/>
              <w:spacing w:line="360" w:lineRule="exact"/>
              <w:jc w:val="left"/>
              <w:rPr>
                <w:rFonts w:hAnsi="宋体"/>
                <w:sz w:val="24"/>
              </w:rPr>
            </w:pPr>
            <w:r>
              <w:rPr>
                <w:rFonts w:hint="eastAsia" w:hAnsi="宋体"/>
                <w:color w:val="000000"/>
                <w:sz w:val="22"/>
                <w:szCs w:val="22"/>
              </w:rPr>
              <w:t>（5）自备苗圃等场地是否具备夏季遮荫大棚和冬季塑料大棚、锅炉等加温设备，确保夏季、冬季盆花的质量和储备能力（0-1分）。（提供有此设备的证明材料，如场地现场照片、租赁合同或产权证明等，原件备查）</w:t>
            </w:r>
          </w:p>
        </w:tc>
        <w:tc>
          <w:tcPr>
            <w:tcW w:w="809" w:type="dxa"/>
            <w:vAlign w:val="center"/>
          </w:tcPr>
          <w:p>
            <w:pPr>
              <w:pStyle w:val="41"/>
              <w:tabs>
                <w:tab w:val="left" w:pos="296"/>
              </w:tabs>
              <w:adjustRightInd w:val="0"/>
              <w:snapToGrid w:val="0"/>
              <w:spacing w:line="360" w:lineRule="exact"/>
              <w:jc w:val="center"/>
              <w:rPr>
                <w:rFonts w:hAnsi="宋体"/>
                <w:color w:val="000000"/>
                <w:sz w:val="22"/>
                <w:szCs w:val="22"/>
              </w:rPr>
            </w:pPr>
            <w:r>
              <w:rPr>
                <w:rFonts w:hint="eastAsia" w:hAnsi="宋体"/>
                <w:color w:val="000000"/>
                <w:sz w:val="22"/>
                <w:szCs w:val="22"/>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679" w:type="dxa"/>
            <w:vAlign w:val="center"/>
          </w:tcPr>
          <w:p>
            <w:pPr>
              <w:pStyle w:val="41"/>
              <w:adjustRightInd w:val="0"/>
              <w:snapToGrid w:val="0"/>
              <w:spacing w:line="360" w:lineRule="exact"/>
              <w:jc w:val="center"/>
              <w:rPr>
                <w:rFonts w:hAnsi="宋体"/>
                <w:color w:val="000000"/>
                <w:sz w:val="22"/>
                <w:szCs w:val="22"/>
              </w:rPr>
            </w:pPr>
            <w:r>
              <w:rPr>
                <w:rFonts w:hint="eastAsia" w:hAnsi="宋体"/>
                <w:color w:val="000000"/>
                <w:sz w:val="22"/>
                <w:szCs w:val="22"/>
              </w:rPr>
              <w:t>3</w:t>
            </w:r>
          </w:p>
        </w:tc>
        <w:tc>
          <w:tcPr>
            <w:tcW w:w="1615" w:type="dxa"/>
            <w:vAlign w:val="center"/>
          </w:tcPr>
          <w:p>
            <w:pPr>
              <w:pStyle w:val="41"/>
              <w:adjustRightInd w:val="0"/>
              <w:snapToGrid w:val="0"/>
              <w:spacing w:line="360" w:lineRule="exact"/>
              <w:jc w:val="center"/>
              <w:rPr>
                <w:rFonts w:hAnsi="宋体" w:cs="宋体"/>
                <w:sz w:val="22"/>
                <w:szCs w:val="22"/>
              </w:rPr>
            </w:pPr>
            <w:r>
              <w:rPr>
                <w:rFonts w:hint="eastAsia" w:hAnsi="宋体"/>
                <w:color w:val="000000"/>
                <w:sz w:val="22"/>
                <w:szCs w:val="22"/>
              </w:rPr>
              <w:t>航站楼环境景观绿化</w:t>
            </w:r>
            <w:r>
              <w:rPr>
                <w:rFonts w:hint="eastAsia" w:hAnsi="宋体" w:cs="Times New Roman"/>
                <w:kern w:val="0"/>
                <w:sz w:val="22"/>
              </w:rPr>
              <w:t>方案组织和技术措施</w:t>
            </w:r>
          </w:p>
        </w:tc>
        <w:tc>
          <w:tcPr>
            <w:tcW w:w="5843" w:type="dxa"/>
            <w:vAlign w:val="center"/>
          </w:tcPr>
          <w:p>
            <w:pPr>
              <w:pStyle w:val="41"/>
              <w:adjustRightInd w:val="0"/>
              <w:snapToGrid w:val="0"/>
              <w:spacing w:line="360" w:lineRule="exact"/>
              <w:jc w:val="left"/>
              <w:rPr>
                <w:rFonts w:hAnsi="宋体"/>
                <w:color w:val="000000"/>
                <w:sz w:val="22"/>
                <w:szCs w:val="22"/>
              </w:rPr>
            </w:pPr>
            <w:r>
              <w:rPr>
                <w:rFonts w:hint="eastAsia" w:hAnsi="宋体"/>
                <w:color w:val="000000"/>
                <w:sz w:val="22"/>
                <w:szCs w:val="22"/>
              </w:rPr>
              <w:t>（1）航站楼环境景观绿化的实施方案是否符合实际，具有操作性（0-2）。</w:t>
            </w:r>
          </w:p>
          <w:p>
            <w:pPr>
              <w:pStyle w:val="41"/>
              <w:adjustRightInd w:val="0"/>
              <w:snapToGrid w:val="0"/>
              <w:spacing w:line="360" w:lineRule="exact"/>
              <w:jc w:val="left"/>
              <w:rPr>
                <w:rFonts w:hAnsi="宋体"/>
                <w:color w:val="000000"/>
                <w:sz w:val="22"/>
              </w:rPr>
            </w:pPr>
            <w:r>
              <w:rPr>
                <w:rFonts w:hint="eastAsia" w:hAnsi="宋体"/>
                <w:color w:val="000000"/>
                <w:sz w:val="22"/>
                <w:szCs w:val="22"/>
              </w:rPr>
              <w:t>（</w:t>
            </w:r>
            <w:r>
              <w:rPr>
                <w:rFonts w:hAnsi="宋体"/>
                <w:color w:val="000000"/>
                <w:sz w:val="22"/>
                <w:szCs w:val="22"/>
              </w:rPr>
              <w:t>2）</w:t>
            </w:r>
            <w:r>
              <w:rPr>
                <w:rFonts w:hint="eastAsia" w:hAnsi="宋体"/>
                <w:color w:val="000000"/>
                <w:sz w:val="22"/>
                <w:szCs w:val="22"/>
              </w:rPr>
              <w:t>项目班子的成员专业素质、专业结构是否满足项目需要，有无合理的劳动力投入计划（</w:t>
            </w:r>
            <w:r>
              <w:rPr>
                <w:rFonts w:hAnsi="宋体"/>
                <w:color w:val="000000"/>
                <w:sz w:val="22"/>
                <w:szCs w:val="22"/>
              </w:rPr>
              <w:t>0-2</w:t>
            </w:r>
            <w:r>
              <w:rPr>
                <w:rFonts w:hint="eastAsia" w:hAnsi="宋体"/>
                <w:color w:val="000000"/>
                <w:sz w:val="22"/>
                <w:szCs w:val="22"/>
              </w:rPr>
              <w:t>分）；</w:t>
            </w:r>
          </w:p>
        </w:tc>
        <w:tc>
          <w:tcPr>
            <w:tcW w:w="809" w:type="dxa"/>
            <w:vAlign w:val="center"/>
          </w:tcPr>
          <w:p>
            <w:pPr>
              <w:pStyle w:val="41"/>
              <w:adjustRightInd w:val="0"/>
              <w:snapToGrid w:val="0"/>
              <w:spacing w:line="360" w:lineRule="exact"/>
              <w:jc w:val="center"/>
              <w:rPr>
                <w:rFonts w:hAnsi="宋体"/>
                <w:color w:val="000000"/>
                <w:sz w:val="22"/>
                <w:szCs w:val="22"/>
              </w:rPr>
            </w:pPr>
            <w:r>
              <w:rPr>
                <w:rFonts w:hint="eastAsia" w:hAnsi="宋体"/>
                <w:color w:val="000000"/>
                <w:sz w:val="22"/>
                <w:szCs w:val="22"/>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679" w:type="dxa"/>
            <w:vAlign w:val="center"/>
          </w:tcPr>
          <w:p>
            <w:pPr>
              <w:pStyle w:val="41"/>
              <w:adjustRightInd w:val="0"/>
              <w:snapToGrid w:val="0"/>
              <w:spacing w:line="360" w:lineRule="exact"/>
              <w:jc w:val="center"/>
              <w:rPr>
                <w:rFonts w:hAnsi="宋体"/>
                <w:color w:val="000000"/>
                <w:sz w:val="22"/>
                <w:szCs w:val="22"/>
              </w:rPr>
            </w:pPr>
            <w:r>
              <w:rPr>
                <w:rFonts w:hint="eastAsia" w:hAnsi="宋体"/>
                <w:color w:val="000000"/>
                <w:sz w:val="22"/>
                <w:szCs w:val="22"/>
              </w:rPr>
              <w:t>4</w:t>
            </w:r>
          </w:p>
        </w:tc>
        <w:tc>
          <w:tcPr>
            <w:tcW w:w="1615" w:type="dxa"/>
            <w:vAlign w:val="center"/>
          </w:tcPr>
          <w:p>
            <w:pPr>
              <w:widowControl/>
              <w:adjustRightInd w:val="0"/>
              <w:snapToGrid w:val="0"/>
              <w:spacing w:line="360" w:lineRule="exact"/>
              <w:jc w:val="center"/>
              <w:rPr>
                <w:rFonts w:ascii="宋体" w:hAnsi="宋体"/>
                <w:kern w:val="0"/>
                <w:sz w:val="24"/>
                <w:szCs w:val="21"/>
              </w:rPr>
            </w:pPr>
            <w:r>
              <w:rPr>
                <w:rFonts w:hint="eastAsia" w:ascii="宋体" w:hAnsi="宋体" w:cs="Courier New"/>
                <w:color w:val="000000"/>
                <w:sz w:val="22"/>
              </w:rPr>
              <w:t>航站楼环境景观绿化</w:t>
            </w:r>
            <w:r>
              <w:rPr>
                <w:rFonts w:hint="eastAsia" w:ascii="宋体" w:hAnsi="宋体"/>
                <w:kern w:val="0"/>
                <w:sz w:val="24"/>
                <w:szCs w:val="21"/>
              </w:rPr>
              <w:t>安全文明养护</w:t>
            </w:r>
          </w:p>
        </w:tc>
        <w:tc>
          <w:tcPr>
            <w:tcW w:w="5843" w:type="dxa"/>
            <w:vAlign w:val="center"/>
          </w:tcPr>
          <w:p>
            <w:pPr>
              <w:widowControl/>
              <w:snapToGrid w:val="0"/>
              <w:spacing w:line="360" w:lineRule="exact"/>
              <w:rPr>
                <w:rFonts w:ascii="宋体" w:hAnsi="宋体" w:cs="Courier New"/>
                <w:color w:val="000000"/>
                <w:sz w:val="22"/>
              </w:rPr>
            </w:pPr>
            <w:r>
              <w:rPr>
                <w:rFonts w:hint="eastAsia" w:ascii="宋体" w:hAnsi="宋体" w:cs="宋体"/>
                <w:color w:val="000000"/>
                <w:sz w:val="22"/>
              </w:rPr>
              <w:t>（1）</w:t>
            </w:r>
            <w:r>
              <w:rPr>
                <w:rFonts w:hint="eastAsia" w:ascii="宋体" w:hAnsi="宋体" w:cs="Courier New"/>
                <w:color w:val="000000"/>
                <w:sz w:val="22"/>
              </w:rPr>
              <w:t>航站楼环境景观绿化</w:t>
            </w:r>
            <w:r>
              <w:rPr>
                <w:rFonts w:hint="eastAsia" w:ascii="宋体" w:hAnsi="宋体" w:cs="宋体"/>
                <w:color w:val="000000"/>
                <w:sz w:val="22"/>
              </w:rPr>
              <w:t>项目现场安全保证体系和安全管</w:t>
            </w:r>
            <w:r>
              <w:rPr>
                <w:rFonts w:hint="eastAsia" w:ascii="宋体" w:hAnsi="宋体" w:cs="Courier New"/>
                <w:color w:val="000000"/>
                <w:sz w:val="22"/>
              </w:rPr>
              <w:t>理制度是否健全（</w:t>
            </w:r>
            <w:r>
              <w:rPr>
                <w:rFonts w:ascii="宋体" w:hAnsi="宋体" w:cs="Courier New"/>
                <w:color w:val="000000"/>
                <w:sz w:val="22"/>
              </w:rPr>
              <w:t>0-1分）</w:t>
            </w:r>
            <w:r>
              <w:rPr>
                <w:rFonts w:hint="eastAsia" w:ascii="宋体" w:hAnsi="宋体" w:cs="Courier New"/>
                <w:color w:val="000000"/>
                <w:sz w:val="22"/>
              </w:rPr>
              <w:t>。</w:t>
            </w:r>
          </w:p>
          <w:p>
            <w:pPr>
              <w:widowControl/>
              <w:snapToGrid w:val="0"/>
              <w:spacing w:line="360" w:lineRule="exact"/>
              <w:rPr>
                <w:rFonts w:ascii="宋体" w:hAnsi="宋体" w:cs="Courier New"/>
                <w:color w:val="000000"/>
                <w:sz w:val="22"/>
              </w:rPr>
            </w:pPr>
            <w:r>
              <w:rPr>
                <w:rFonts w:hint="eastAsia" w:ascii="宋体" w:hAnsi="宋体" w:cs="Courier New"/>
                <w:color w:val="000000"/>
                <w:sz w:val="22"/>
              </w:rPr>
              <w:t>（</w:t>
            </w:r>
            <w:r>
              <w:rPr>
                <w:rFonts w:ascii="宋体" w:hAnsi="宋体" w:cs="Courier New"/>
                <w:color w:val="000000"/>
                <w:sz w:val="22"/>
              </w:rPr>
              <w:t>2）</w:t>
            </w:r>
            <w:r>
              <w:rPr>
                <w:rFonts w:hint="eastAsia" w:ascii="宋体" w:hAnsi="宋体" w:cs="Courier New"/>
                <w:color w:val="000000"/>
                <w:sz w:val="22"/>
              </w:rPr>
              <w:t>文明管理</w:t>
            </w:r>
          </w:p>
          <w:p>
            <w:pPr>
              <w:widowControl/>
              <w:adjustRightInd/>
              <w:snapToGrid w:val="0"/>
              <w:spacing w:line="360" w:lineRule="exact"/>
              <w:jc w:val="left"/>
              <w:rPr>
                <w:rFonts w:ascii="宋体" w:hAnsi="宋体" w:cs="Courier New"/>
                <w:color w:val="000000"/>
                <w:sz w:val="22"/>
              </w:rPr>
            </w:pPr>
            <w:r>
              <w:rPr>
                <w:rFonts w:hint="eastAsia" w:ascii="宋体" w:hAnsi="宋体" w:cs="Courier New"/>
                <w:color w:val="000000"/>
                <w:sz w:val="22"/>
              </w:rPr>
              <w:t>和环境保护措施是否到位（</w:t>
            </w:r>
            <w:r>
              <w:rPr>
                <w:rFonts w:ascii="宋体" w:hAnsi="宋体" w:cs="Courier New"/>
                <w:color w:val="000000"/>
                <w:sz w:val="22"/>
              </w:rPr>
              <w:t>0-1分）</w:t>
            </w:r>
            <w:r>
              <w:rPr>
                <w:rFonts w:hint="eastAsia" w:ascii="宋体" w:hAnsi="宋体" w:cs="Courier New"/>
                <w:color w:val="000000"/>
                <w:sz w:val="22"/>
              </w:rPr>
              <w:t>。</w:t>
            </w:r>
          </w:p>
          <w:p>
            <w:pPr>
              <w:pStyle w:val="41"/>
              <w:adjustRightInd w:val="0"/>
              <w:snapToGrid w:val="0"/>
              <w:spacing w:line="360" w:lineRule="exact"/>
              <w:jc w:val="left"/>
              <w:rPr>
                <w:rFonts w:hAnsi="宋体" w:cs="宋体"/>
                <w:color w:val="000000"/>
                <w:sz w:val="22"/>
              </w:rPr>
            </w:pPr>
            <w:r>
              <w:rPr>
                <w:rFonts w:hint="eastAsia" w:hAnsi="宋体" w:cs="宋体"/>
                <w:color w:val="000000"/>
                <w:sz w:val="22"/>
              </w:rPr>
              <w:t>（3）针对机场高要求、高质量的安全文明措施是否到位（0-1分）。</w:t>
            </w:r>
          </w:p>
        </w:tc>
        <w:tc>
          <w:tcPr>
            <w:tcW w:w="809" w:type="dxa"/>
            <w:vAlign w:val="center"/>
          </w:tcPr>
          <w:p>
            <w:pPr>
              <w:pStyle w:val="41"/>
              <w:adjustRightInd w:val="0"/>
              <w:snapToGrid w:val="0"/>
              <w:spacing w:line="360" w:lineRule="exact"/>
              <w:jc w:val="center"/>
              <w:rPr>
                <w:rFonts w:hAnsi="宋体"/>
                <w:color w:val="000000"/>
                <w:sz w:val="22"/>
                <w:szCs w:val="22"/>
              </w:rPr>
            </w:pPr>
            <w:r>
              <w:rPr>
                <w:rFonts w:hint="eastAsia" w:hAnsi="宋体"/>
                <w:color w:val="000000"/>
                <w:sz w:val="22"/>
                <w:szCs w:val="22"/>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679" w:type="dxa"/>
            <w:vAlign w:val="center"/>
          </w:tcPr>
          <w:p>
            <w:pPr>
              <w:widowControl/>
              <w:snapToGrid w:val="0"/>
              <w:spacing w:line="360" w:lineRule="exact"/>
              <w:jc w:val="center"/>
              <w:rPr>
                <w:rFonts w:ascii="宋体" w:hAnsi="宋体" w:cs="Courier New"/>
                <w:color w:val="000000"/>
                <w:sz w:val="22"/>
              </w:rPr>
            </w:pPr>
            <w:r>
              <w:rPr>
                <w:rFonts w:hint="eastAsia" w:ascii="宋体" w:hAnsi="宋体" w:cs="Courier New"/>
                <w:color w:val="000000"/>
                <w:sz w:val="22"/>
              </w:rPr>
              <w:t>5</w:t>
            </w:r>
          </w:p>
        </w:tc>
        <w:tc>
          <w:tcPr>
            <w:tcW w:w="1615" w:type="dxa"/>
            <w:vAlign w:val="center"/>
          </w:tcPr>
          <w:p>
            <w:pPr>
              <w:widowControl/>
              <w:snapToGrid w:val="0"/>
              <w:spacing w:line="360" w:lineRule="exact"/>
              <w:jc w:val="center"/>
              <w:rPr>
                <w:rFonts w:ascii="宋体" w:hAnsi="宋体" w:cs="Courier New"/>
                <w:color w:val="000000"/>
                <w:sz w:val="22"/>
              </w:rPr>
            </w:pPr>
            <w:r>
              <w:rPr>
                <w:rFonts w:hint="eastAsia" w:ascii="宋体" w:hAnsi="宋体"/>
                <w:kern w:val="0"/>
                <w:sz w:val="22"/>
              </w:rPr>
              <w:t>花堆设计优越性</w:t>
            </w:r>
          </w:p>
        </w:tc>
        <w:tc>
          <w:tcPr>
            <w:tcW w:w="5843" w:type="dxa"/>
            <w:vAlign w:val="center"/>
          </w:tcPr>
          <w:p>
            <w:pPr>
              <w:widowControl/>
              <w:rPr>
                <w:rFonts w:ascii="宋体" w:hAnsi="宋体" w:cs="宋体"/>
                <w:color w:val="000000"/>
                <w:sz w:val="22"/>
                <w:szCs w:val="21"/>
              </w:rPr>
            </w:pPr>
            <w:r>
              <w:rPr>
                <w:rFonts w:hint="eastAsia" w:ascii="宋体" w:hAnsi="宋体" w:cs="宋体"/>
                <w:color w:val="000000"/>
                <w:sz w:val="22"/>
                <w:szCs w:val="21"/>
              </w:rPr>
              <w:t>针对提供的节日花堆33张设计图稿，横向对比评分：</w:t>
            </w:r>
          </w:p>
          <w:p>
            <w:pPr>
              <w:widowControl/>
            </w:pPr>
            <w:r>
              <w:rPr>
                <w:rFonts w:hint="eastAsia" w:ascii="宋体" w:hAnsi="宋体" w:cs="宋体"/>
                <w:color w:val="000000"/>
                <w:sz w:val="22"/>
                <w:szCs w:val="21"/>
              </w:rPr>
              <w:t>节日花堆设计方案的优越性，横向对比后评分（0-17）。</w:t>
            </w:r>
          </w:p>
        </w:tc>
        <w:tc>
          <w:tcPr>
            <w:tcW w:w="809" w:type="dxa"/>
            <w:vAlign w:val="center"/>
          </w:tcPr>
          <w:p>
            <w:pPr>
              <w:widowControl/>
              <w:snapToGrid w:val="0"/>
              <w:spacing w:line="360" w:lineRule="exact"/>
              <w:jc w:val="center"/>
              <w:rPr>
                <w:rFonts w:ascii="宋体" w:hAnsi="宋体" w:cs="宋体" w:eastAsiaTheme="minorEastAsia"/>
                <w:kern w:val="0"/>
                <w:szCs w:val="21"/>
              </w:rPr>
            </w:pPr>
            <w:r>
              <w:rPr>
                <w:rFonts w:hint="eastAsia" w:ascii="宋体" w:hAnsi="宋体" w:cs="Courier New"/>
                <w:color w:val="000000"/>
                <w:sz w:val="22"/>
              </w:rPr>
              <w:t>0-17</w:t>
            </w:r>
          </w:p>
        </w:tc>
      </w:tr>
    </w:tbl>
    <w:p>
      <w:pPr>
        <w:pStyle w:val="2"/>
        <w:ind w:firstLine="210"/>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ascii="Segoe UI Emoji" w:hAnsi="Segoe UI Emoji" w:cs="Segoe UI Emoji"/>
          </w:rPr>
          <w:id w:val="-1084219536"/>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b/>
          <w:sz w:val="22"/>
        </w:rPr>
        <w:t xml:space="preserve"> </w:t>
      </w:r>
      <w:r>
        <w:rPr>
          <w:rFonts w:ascii="宋体" w:hAnsi="宋体" w:cs="宋体"/>
          <w:b/>
          <w:sz w:val="22"/>
        </w:rPr>
        <w:t>60分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cs="宋体"/>
          <w:b/>
          <w:sz w:val="22"/>
        </w:rPr>
      </w:pPr>
      <w:sdt>
        <w:sdtPr>
          <w:rPr>
            <w:rFonts w:ascii="Segoe UI Emoji" w:hAnsi="Segoe UI Emoji" w:cs="Segoe UI Emoji"/>
          </w:rPr>
          <w:id w:val="241145494"/>
          <w14:checkbox>
            <w14:checked w14:val="1"/>
            <w14:checkedState w14:val="0052" w14:font="Wingdings 2"/>
            <w14:uncheckedState w14:val="2610" w14:font="MS Gothic"/>
          </w14:checkbox>
        </w:sdtPr>
        <w:sdtEndPr>
          <w:rPr>
            <w:rFonts w:ascii="Segoe UI Emoji" w:hAnsi="Segoe UI Emoji" w:cs="Segoe UI Emoji"/>
          </w:rPr>
        </w:sdtEndPr>
        <w:sdtContent>
          <w:r>
            <w:rPr>
              <w:rFonts w:ascii="Wingdings 2" w:hAnsi="Wingdings 2" w:eastAsia="MS Gothic" w:cs="Segoe UI Emoji"/>
            </w:rPr>
            <w:t></w:t>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a.投标评标价等于评标基准价时，得满分60分；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snapToGrid w:val="0"/>
        <w:spacing w:line="360" w:lineRule="exact"/>
        <w:ind w:firstLine="433" w:firstLineChars="196"/>
        <w:outlineLvl w:val="1"/>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snapToGrid w:val="0"/>
        <w:spacing w:line="360" w:lineRule="exact"/>
        <w:ind w:firstLine="433" w:firstLineChars="196"/>
        <w:outlineLvl w:val="1"/>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sz w:val="24"/>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rPr>
          <w:rFonts w:ascii="宋体" w:hAnsi="宋体"/>
          <w:b/>
          <w:sz w:val="24"/>
        </w:rPr>
        <w:sectPr>
          <w:pgSz w:w="11906" w:h="16838"/>
          <w:pgMar w:top="1701" w:right="1588" w:bottom="1588" w:left="1588" w:header="851" w:footer="992" w:gutter="0"/>
          <w:cols w:space="720" w:num="1"/>
          <w:docGrid w:linePitch="312" w:charSpace="0"/>
        </w:sectPr>
      </w:pPr>
    </w:p>
    <w:p>
      <w:pPr>
        <w:jc w:val="center"/>
        <w:rPr>
          <w:kern w:val="44"/>
          <w:sz w:val="44"/>
          <w:szCs w:val="44"/>
        </w:rPr>
      </w:pPr>
      <w:bookmarkStart w:id="30" w:name="_Toc19698499"/>
      <w:r>
        <w:rPr>
          <w:rFonts w:hint="eastAsia"/>
          <w:kern w:val="44"/>
          <w:sz w:val="44"/>
          <w:szCs w:val="44"/>
        </w:rPr>
        <w:t>第四章  合同条款及格式</w:t>
      </w:r>
      <w:bookmarkEnd w:id="30"/>
    </w:p>
    <w:p>
      <w:pPr>
        <w:spacing w:line="360" w:lineRule="auto"/>
        <w:jc w:val="center"/>
        <w:rPr>
          <w:rFonts w:ascii="宋体" w:hAnsi="宋体" w:cs="宋体"/>
          <w:b/>
          <w:sz w:val="22"/>
        </w:rPr>
      </w:pPr>
    </w:p>
    <w:p>
      <w:pPr>
        <w:adjustRightInd w:val="0"/>
        <w:snapToGrid w:val="0"/>
        <w:spacing w:line="360" w:lineRule="exact"/>
        <w:ind w:firstLine="281"/>
        <w:rPr>
          <w:rFonts w:ascii="宋体" w:hAnsi="宋体" w:cs="宋体"/>
          <w:b/>
          <w:sz w:val="22"/>
        </w:rPr>
      </w:pPr>
    </w:p>
    <w:p>
      <w:pPr>
        <w:spacing w:line="560" w:lineRule="exact"/>
        <w:jc w:val="center"/>
        <w:rPr>
          <w:rFonts w:ascii="仿宋_GB2312" w:hAnsi="宋体" w:eastAsia="仿宋_GB2312"/>
          <w:sz w:val="28"/>
          <w:szCs w:val="28"/>
        </w:rPr>
      </w:pPr>
    </w:p>
    <w:p>
      <w:pPr>
        <w:snapToGrid w:val="0"/>
        <w:spacing w:line="360" w:lineRule="auto"/>
        <w:jc w:val="center"/>
        <w:rPr>
          <w:rFonts w:ascii="仿宋_GB2312" w:eastAsia="仿宋_GB2312" w:hAnsiTheme="minorHAnsi"/>
          <w:b/>
          <w:sz w:val="52"/>
          <w:szCs w:val="52"/>
        </w:rPr>
      </w:pPr>
    </w:p>
    <w:p>
      <w:pPr>
        <w:snapToGrid w:val="0"/>
        <w:spacing w:line="360" w:lineRule="auto"/>
        <w:jc w:val="center"/>
        <w:rPr>
          <w:rFonts w:ascii="仿宋_GB2312" w:eastAsia="仿宋_GB2312" w:hAnsiTheme="minorHAnsi"/>
          <w:b/>
          <w:sz w:val="36"/>
          <w:szCs w:val="36"/>
        </w:rPr>
      </w:pPr>
    </w:p>
    <w:p>
      <w:pPr>
        <w:snapToGrid w:val="0"/>
        <w:spacing w:line="360" w:lineRule="auto"/>
        <w:jc w:val="center"/>
        <w:rPr>
          <w:rFonts w:ascii="仿宋_GB2312" w:eastAsia="仿宋_GB2312" w:hAnsiTheme="minorHAnsi"/>
          <w:b/>
          <w:sz w:val="36"/>
          <w:szCs w:val="36"/>
        </w:rPr>
      </w:pPr>
      <w:r>
        <w:rPr>
          <w:rFonts w:hint="eastAsia" w:ascii="仿宋_GB2312" w:eastAsia="仿宋_GB2312" w:hAnsiTheme="minorHAnsi"/>
          <w:b/>
          <w:sz w:val="36"/>
          <w:szCs w:val="36"/>
        </w:rPr>
        <w:t>杭州萧山国际机场航站楼环境</w:t>
      </w:r>
    </w:p>
    <w:p>
      <w:pPr>
        <w:snapToGrid w:val="0"/>
        <w:spacing w:line="360" w:lineRule="auto"/>
        <w:jc w:val="center"/>
        <w:rPr>
          <w:rFonts w:ascii="仿宋_GB2312" w:eastAsia="仿宋_GB2312" w:hAnsiTheme="minorHAnsi"/>
          <w:b/>
          <w:sz w:val="36"/>
          <w:szCs w:val="36"/>
        </w:rPr>
      </w:pPr>
      <w:r>
        <w:rPr>
          <w:rFonts w:hint="eastAsia" w:ascii="仿宋_GB2312" w:eastAsia="仿宋_GB2312" w:hAnsiTheme="minorHAnsi"/>
          <w:b/>
          <w:sz w:val="36"/>
          <w:szCs w:val="36"/>
        </w:rPr>
        <w:t>景观绿化综合项目</w:t>
      </w: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snapToGrid w:val="0"/>
        <w:spacing w:line="360" w:lineRule="auto"/>
        <w:jc w:val="center"/>
        <w:rPr>
          <w:rFonts w:ascii="仿宋_GB2312" w:eastAsia="仿宋_GB2312"/>
          <w:sz w:val="24"/>
          <w:szCs w:val="24"/>
        </w:rPr>
      </w:pPr>
      <w:r>
        <w:rPr>
          <w:rFonts w:hint="eastAsia" w:ascii="仿宋_GB2312" w:eastAsia="仿宋_GB2312"/>
          <w:sz w:val="24"/>
          <w:szCs w:val="24"/>
        </w:rPr>
        <w:t>合  同  书</w:t>
      </w:r>
    </w:p>
    <w:p>
      <w:pPr>
        <w:snapToGrid w:val="0"/>
        <w:spacing w:line="360" w:lineRule="auto"/>
        <w:rPr>
          <w:rFonts w:ascii="仿宋_GB2312" w:eastAsia="仿宋_GB2312"/>
          <w:sz w:val="24"/>
          <w:szCs w:val="24"/>
        </w:rPr>
      </w:pPr>
    </w:p>
    <w:p>
      <w:pPr>
        <w:snapToGrid w:val="0"/>
        <w:spacing w:line="360" w:lineRule="auto"/>
        <w:rPr>
          <w:rFonts w:ascii="仿宋_GB2312" w:eastAsia="仿宋_GB2312"/>
          <w:sz w:val="24"/>
          <w:szCs w:val="24"/>
        </w:rPr>
      </w:pPr>
      <w:r>
        <w:rPr>
          <w:rFonts w:hint="eastAsia" w:ascii="仿宋_GB2312" w:eastAsia="仿宋_GB2312"/>
          <w:sz w:val="24"/>
          <w:szCs w:val="24"/>
        </w:rPr>
        <w:t>发包方（甲方）：杭州萧山国际机场有限公司</w:t>
      </w:r>
    </w:p>
    <w:p>
      <w:pPr>
        <w:snapToGrid w:val="0"/>
        <w:spacing w:line="360" w:lineRule="auto"/>
        <w:rPr>
          <w:rFonts w:ascii="仿宋_GB2312" w:eastAsia="仿宋_GB2312"/>
          <w:sz w:val="24"/>
          <w:szCs w:val="24"/>
        </w:rPr>
      </w:pPr>
      <w:r>
        <w:rPr>
          <w:rFonts w:hint="eastAsia" w:ascii="仿宋_GB2312" w:eastAsia="仿宋_GB2312"/>
          <w:sz w:val="24"/>
          <w:szCs w:val="24"/>
        </w:rPr>
        <w:t>注册地址：杭州萧山国际机场内</w:t>
      </w:r>
    </w:p>
    <w:p>
      <w:pPr>
        <w:snapToGrid w:val="0"/>
        <w:spacing w:line="360" w:lineRule="auto"/>
        <w:rPr>
          <w:rFonts w:ascii="仿宋_GB2312" w:eastAsia="仿宋_GB2312"/>
          <w:sz w:val="24"/>
          <w:szCs w:val="24"/>
        </w:rPr>
      </w:pPr>
    </w:p>
    <w:p>
      <w:pPr>
        <w:snapToGrid w:val="0"/>
        <w:spacing w:line="360" w:lineRule="auto"/>
        <w:rPr>
          <w:rFonts w:ascii="仿宋_GB2312" w:eastAsia="仿宋_GB2312"/>
          <w:sz w:val="24"/>
          <w:szCs w:val="24"/>
        </w:rPr>
      </w:pPr>
      <w:r>
        <w:rPr>
          <w:rFonts w:hint="eastAsia" w:ascii="仿宋_GB2312" w:eastAsia="仿宋_GB2312"/>
          <w:sz w:val="24"/>
          <w:szCs w:val="24"/>
        </w:rPr>
        <w:t>承包方（乙方）：</w:t>
      </w:r>
    </w:p>
    <w:p>
      <w:pPr>
        <w:snapToGrid w:val="0"/>
        <w:spacing w:line="360" w:lineRule="auto"/>
        <w:rPr>
          <w:rFonts w:ascii="仿宋_GB2312" w:eastAsia="仿宋_GB2312"/>
          <w:sz w:val="24"/>
          <w:szCs w:val="24"/>
        </w:rPr>
      </w:pPr>
      <w:r>
        <w:rPr>
          <w:rFonts w:hint="eastAsia" w:ascii="仿宋_GB2312" w:eastAsia="仿宋_GB2312"/>
          <w:sz w:val="24"/>
          <w:szCs w:val="24"/>
        </w:rPr>
        <w:t>注册地址：</w:t>
      </w:r>
    </w:p>
    <w:p>
      <w:pPr>
        <w:snapToGrid w:val="0"/>
        <w:spacing w:line="360" w:lineRule="auto"/>
        <w:ind w:firstLine="480" w:firstLineChars="200"/>
        <w:rPr>
          <w:rFonts w:ascii="仿宋_GB2312" w:eastAsia="仿宋_GB2312"/>
          <w:sz w:val="24"/>
          <w:szCs w:val="24"/>
        </w:rPr>
      </w:pPr>
    </w:p>
    <w:p>
      <w:pPr>
        <w:snapToGrid w:val="0"/>
        <w:spacing w:line="360" w:lineRule="auto"/>
        <w:ind w:firstLine="480" w:firstLineChars="200"/>
        <w:rPr>
          <w:rFonts w:ascii="仿宋_GB2312" w:eastAsia="仿宋_GB2312"/>
          <w:sz w:val="24"/>
          <w:szCs w:val="24"/>
        </w:rPr>
      </w:pPr>
      <w:r>
        <w:rPr>
          <w:rFonts w:hint="eastAsia" w:ascii="仿宋_GB2312" w:eastAsia="仿宋_GB2312"/>
          <w:sz w:val="24"/>
          <w:szCs w:val="24"/>
        </w:rPr>
        <w:t>为明确甲乙双方权利和义务，根据《中华人民共和国合同法》及有关规定，就乙方承包甲方杭州萧山国际机场航站楼环境景观绿化综合项目的有关事宜，经甲乙双方协商一致，特签订本合同，以资共同遵守。</w:t>
      </w:r>
    </w:p>
    <w:p>
      <w:pPr>
        <w:spacing w:line="360" w:lineRule="auto"/>
        <w:rPr>
          <w:rFonts w:ascii="仿宋_GB2312" w:eastAsia="仿宋_GB2312"/>
          <w:b/>
          <w:sz w:val="24"/>
          <w:szCs w:val="24"/>
        </w:rPr>
      </w:pPr>
    </w:p>
    <w:p>
      <w:pPr>
        <w:spacing w:line="360" w:lineRule="auto"/>
        <w:rPr>
          <w:rFonts w:ascii="仿宋_GB2312" w:eastAsia="仿宋_GB2312"/>
          <w:b/>
          <w:sz w:val="24"/>
          <w:szCs w:val="24"/>
        </w:rPr>
      </w:pPr>
      <w:r>
        <w:rPr>
          <w:rFonts w:hint="eastAsia" w:ascii="仿宋_GB2312" w:eastAsia="仿宋_GB2312"/>
          <w:b/>
          <w:sz w:val="24"/>
          <w:szCs w:val="24"/>
        </w:rPr>
        <w:t>第一条 承包项目</w:t>
      </w:r>
    </w:p>
    <w:p>
      <w:pPr>
        <w:spacing w:line="360" w:lineRule="auto"/>
        <w:ind w:firstLine="482" w:firstLineChars="200"/>
        <w:rPr>
          <w:rFonts w:ascii="仿宋_GB2312" w:eastAsia="仿宋_GB2312"/>
          <w:sz w:val="24"/>
          <w:szCs w:val="24"/>
        </w:rPr>
      </w:pPr>
      <w:r>
        <w:rPr>
          <w:rFonts w:hint="eastAsia" w:ascii="仿宋_GB2312" w:eastAsia="仿宋_GB2312"/>
          <w:b/>
          <w:bCs/>
          <w:sz w:val="24"/>
          <w:szCs w:val="24"/>
        </w:rPr>
        <w:t>1.项目名称：</w:t>
      </w:r>
      <w:r>
        <w:rPr>
          <w:rFonts w:hint="eastAsia" w:ascii="仿宋_GB2312" w:eastAsia="仿宋_GB2312"/>
          <w:sz w:val="24"/>
          <w:szCs w:val="24"/>
        </w:rPr>
        <w:t>杭州萧山国际机场航站楼环境景观绿化综合项目（以下简称“本项目”）</w:t>
      </w:r>
    </w:p>
    <w:p>
      <w:pPr>
        <w:spacing w:line="360" w:lineRule="auto"/>
        <w:ind w:firstLine="482" w:firstLineChars="200"/>
        <w:rPr>
          <w:rFonts w:ascii="仿宋_GB2312" w:eastAsia="仿宋_GB2312"/>
          <w:sz w:val="24"/>
          <w:szCs w:val="24"/>
        </w:rPr>
      </w:pPr>
      <w:r>
        <w:rPr>
          <w:rFonts w:hint="eastAsia" w:ascii="仿宋_GB2312" w:eastAsia="仿宋_GB2312"/>
          <w:b/>
          <w:bCs/>
          <w:sz w:val="24"/>
          <w:szCs w:val="24"/>
        </w:rPr>
        <w:t>2.项目地点：</w:t>
      </w:r>
      <w:r>
        <w:rPr>
          <w:rFonts w:hint="eastAsia" w:ascii="仿宋_GB2312" w:eastAsia="仿宋_GB2312"/>
          <w:sz w:val="24"/>
          <w:szCs w:val="24"/>
        </w:rPr>
        <w:t>本合同项目地点及履行地为杭州萧山国际机场航站楼。</w:t>
      </w:r>
    </w:p>
    <w:p>
      <w:pPr>
        <w:spacing w:line="360" w:lineRule="auto"/>
        <w:ind w:firstLine="482" w:firstLineChars="200"/>
        <w:rPr>
          <w:rFonts w:ascii="仿宋_GB2312" w:eastAsia="仿宋_GB2312"/>
          <w:sz w:val="24"/>
          <w:szCs w:val="24"/>
        </w:rPr>
      </w:pPr>
      <w:r>
        <w:rPr>
          <w:rFonts w:hint="eastAsia" w:ascii="仿宋_GB2312" w:eastAsia="仿宋_GB2312"/>
          <w:b/>
          <w:bCs/>
          <w:sz w:val="24"/>
          <w:szCs w:val="24"/>
        </w:rPr>
        <w:t>3.承包范围：</w:t>
      </w:r>
      <w:r>
        <w:rPr>
          <w:rFonts w:hint="eastAsia" w:ascii="仿宋_GB2312" w:eastAsia="仿宋_GB2312"/>
          <w:sz w:val="24"/>
          <w:szCs w:val="24"/>
        </w:rPr>
        <w:t>航站楼绿化景观（</w:t>
      </w:r>
      <w:r>
        <w:rPr>
          <w:rFonts w:hint="eastAsia" w:ascii="仿宋_GB2312" w:eastAsia="仿宋_GB2312" w:hAnsiTheme="minorHAnsi" w:cstheme="minorBidi"/>
          <w:sz w:val="24"/>
          <w:szCs w:val="24"/>
        </w:rPr>
        <w:t>含花器，花器是否甲供详见清单</w:t>
      </w:r>
      <w:r>
        <w:rPr>
          <w:rFonts w:hint="eastAsia" w:ascii="仿宋_GB2312" w:eastAsia="仿宋_GB2312"/>
          <w:sz w:val="24"/>
          <w:szCs w:val="24"/>
        </w:rPr>
        <w:t>）布置、高架桥（上下）植物摆放、航站楼重点位置（含问询柜台、安检柜台等）高档时花摆放、航站楼固定花堆布置不少于8处、航站楼节假日花堆布置不少于11处（含五一、国庆、元旦、春节等，其中每年的养护期五一、国庆、元旦周期按30日历天计算，春节按60日历天计算）</w:t>
      </w:r>
      <w:r>
        <w:rPr>
          <w:rFonts w:hint="eastAsia" w:ascii="仿宋_GB2312" w:eastAsia="仿宋_GB2312" w:hAnsiTheme="minorHAnsi" w:cstheme="minorBidi"/>
          <w:sz w:val="24"/>
          <w:szCs w:val="24"/>
        </w:rPr>
        <w:t>和所涉及设施及附属物的保洁及维护</w:t>
      </w:r>
      <w:r>
        <w:rPr>
          <w:rFonts w:hint="eastAsia" w:ascii="仿宋_GB2312" w:eastAsia="仿宋_GB2312"/>
          <w:sz w:val="24"/>
          <w:szCs w:val="24"/>
        </w:rPr>
        <w:t>。航站楼内机场公司重大活动(每年不少于2次)绿化布置、甲供花器养护服务、T1航站楼内庭院日常养护服务。</w:t>
      </w:r>
    </w:p>
    <w:p>
      <w:pPr>
        <w:spacing w:line="360" w:lineRule="auto"/>
        <w:ind w:firstLine="482" w:firstLineChars="200"/>
        <w:rPr>
          <w:rFonts w:ascii="仿宋_GB2312" w:eastAsia="仿宋_GB2312"/>
          <w:b/>
          <w:bCs/>
          <w:sz w:val="24"/>
          <w:szCs w:val="24"/>
        </w:rPr>
      </w:pPr>
      <w:r>
        <w:rPr>
          <w:rFonts w:hint="eastAsia" w:ascii="仿宋_GB2312" w:eastAsia="仿宋_GB2312"/>
          <w:b/>
          <w:bCs/>
          <w:sz w:val="24"/>
          <w:szCs w:val="24"/>
        </w:rPr>
        <w:t>4.具体服务内容：</w:t>
      </w:r>
    </w:p>
    <w:p>
      <w:pPr>
        <w:spacing w:line="360" w:lineRule="auto"/>
        <w:ind w:firstLine="482" w:firstLineChars="200"/>
        <w:rPr>
          <w:rFonts w:ascii="仿宋_GB2312" w:eastAsia="仿宋_GB2312"/>
          <w:b/>
          <w:bCs/>
          <w:sz w:val="24"/>
          <w:szCs w:val="24"/>
        </w:rPr>
      </w:pPr>
      <w:r>
        <w:rPr>
          <w:rFonts w:hint="eastAsia" w:ascii="仿宋_GB2312" w:eastAsia="仿宋_GB2312"/>
          <w:b/>
          <w:bCs/>
          <w:sz w:val="24"/>
          <w:szCs w:val="24"/>
        </w:rPr>
        <w:t>（1）航站楼各区域植物租摆</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根据《航站楼各区域布置摆放植物品种和数量要求清单》（附件1）的要求进行植物供应。其中花器供应一栏打“×”代表甲方不提供相应花器，需乙方自行采购。</w:t>
      </w:r>
    </w:p>
    <w:p>
      <w:pPr>
        <w:spacing w:line="360" w:lineRule="auto"/>
        <w:ind w:firstLine="482" w:firstLineChars="200"/>
        <w:rPr>
          <w:rFonts w:ascii="仿宋_GB2312" w:eastAsia="仿宋_GB2312" w:hAnsiTheme="minorHAnsi" w:cstheme="minorBidi"/>
          <w:b/>
          <w:bCs/>
          <w:sz w:val="24"/>
          <w:szCs w:val="24"/>
        </w:rPr>
      </w:pPr>
      <w:r>
        <w:rPr>
          <w:rFonts w:hint="eastAsia" w:ascii="仿宋_GB2312" w:eastAsia="仿宋_GB2312"/>
          <w:b/>
          <w:bCs/>
          <w:sz w:val="24"/>
          <w:szCs w:val="24"/>
        </w:rPr>
        <w:t>（2）</w:t>
      </w:r>
      <w:r>
        <w:rPr>
          <w:rFonts w:hint="eastAsia" w:ascii="仿宋_GB2312" w:eastAsia="仿宋_GB2312" w:hAnsiTheme="minorHAnsi" w:cstheme="minorBidi"/>
          <w:b/>
          <w:bCs/>
          <w:sz w:val="24"/>
          <w:szCs w:val="24"/>
        </w:rPr>
        <w:t>航站楼固定及节假日花堆租摆</w:t>
      </w:r>
    </w:p>
    <w:p>
      <w:pPr>
        <w:widowControl/>
        <w:spacing w:line="360" w:lineRule="auto"/>
        <w:ind w:firstLine="480" w:firstLineChars="200"/>
        <w:jc w:val="left"/>
        <w:rPr>
          <w:rFonts w:ascii="仿宋_GB2312" w:eastAsia="仿宋_GB2312" w:hAnsiTheme="minorHAnsi" w:cstheme="minorBidi"/>
          <w:sz w:val="24"/>
          <w:szCs w:val="24"/>
        </w:rPr>
      </w:pPr>
      <w:r>
        <w:rPr>
          <w:rFonts w:hint="eastAsia" w:ascii="仿宋_GB2312" w:eastAsia="仿宋_GB2312" w:hAnsiTheme="minorHAnsi" w:cstheme="minorBidi"/>
          <w:sz w:val="24"/>
          <w:szCs w:val="24"/>
        </w:rPr>
        <w:t>航站楼绿化景观花堆租摆分为固定花堆和节假日花堆（花堆点位可按照</w:t>
      </w:r>
      <w:r>
        <w:rPr>
          <w:rFonts w:hint="eastAsia" w:ascii="仿宋_GB2312" w:eastAsia="仿宋_GB2312" w:cstheme="minorBidi"/>
          <w:sz w:val="24"/>
          <w:szCs w:val="24"/>
        </w:rPr>
        <w:t>甲方</w:t>
      </w:r>
      <w:r>
        <w:rPr>
          <w:rFonts w:hint="eastAsia" w:ascii="仿宋_GB2312" w:eastAsia="仿宋_GB2312" w:hAnsiTheme="minorHAnsi" w:cstheme="minorBidi"/>
          <w:sz w:val="24"/>
          <w:szCs w:val="24"/>
        </w:rPr>
        <w:t>意愿无条件调整），固定花堆点位不少于</w:t>
      </w:r>
      <w:r>
        <w:rPr>
          <w:rFonts w:hint="eastAsia" w:ascii="仿宋_GB2312" w:eastAsia="仿宋_GB2312" w:cstheme="minorBidi"/>
          <w:sz w:val="24"/>
          <w:szCs w:val="24"/>
        </w:rPr>
        <w:t>8</w:t>
      </w:r>
      <w:r>
        <w:rPr>
          <w:rFonts w:hint="eastAsia" w:ascii="仿宋_GB2312" w:eastAsia="仿宋_GB2312" w:hAnsiTheme="minorHAnsi" w:cstheme="minorBidi"/>
          <w:sz w:val="24"/>
          <w:szCs w:val="24"/>
        </w:rPr>
        <w:t>处，每个点位一年摆放7个月。节假日花堆点位不少于</w:t>
      </w:r>
      <w:r>
        <w:rPr>
          <w:rFonts w:hint="eastAsia" w:ascii="仿宋_GB2312" w:eastAsia="仿宋_GB2312" w:cstheme="minorBidi"/>
          <w:sz w:val="24"/>
          <w:szCs w:val="24"/>
        </w:rPr>
        <w:t>11</w:t>
      </w:r>
      <w:r>
        <w:rPr>
          <w:rFonts w:hint="eastAsia" w:ascii="仿宋_GB2312" w:eastAsia="仿宋_GB2312" w:hAnsiTheme="minorHAnsi" w:cstheme="minorBidi"/>
          <w:sz w:val="24"/>
          <w:szCs w:val="24"/>
        </w:rPr>
        <w:t>处，每个点位一年摆放共5个月（含五一、国庆、元旦、春节等，其中每年的养护期五一、国庆、元旦周期按30日历天计算，春节按60日历天计算）</w:t>
      </w:r>
      <w:r>
        <w:rPr>
          <w:rFonts w:hint="eastAsia" w:ascii="仿宋_GB2312" w:eastAsia="仿宋_GB2312" w:cstheme="minorBidi"/>
          <w:sz w:val="24"/>
          <w:szCs w:val="24"/>
        </w:rPr>
        <w:t>。</w:t>
      </w:r>
      <w:r>
        <w:rPr>
          <w:rFonts w:hint="eastAsia" w:ascii="仿宋_GB2312" w:eastAsia="仿宋_GB2312" w:hAnsiTheme="minorHAnsi" w:cstheme="minorBidi"/>
          <w:sz w:val="24"/>
          <w:szCs w:val="24"/>
        </w:rPr>
        <w:t>花堆由时令花卉及名贵花木构成。</w:t>
      </w:r>
    </w:p>
    <w:tbl>
      <w:tblPr>
        <w:tblStyle w:val="90"/>
        <w:tblW w:w="98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750"/>
        <w:gridCol w:w="2354"/>
        <w:gridCol w:w="727"/>
        <w:gridCol w:w="2296"/>
        <w:gridCol w:w="1315"/>
        <w:gridCol w:w="1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9" w:type="dxa"/>
            <w:vAlign w:val="center"/>
          </w:tcPr>
          <w:p>
            <w:pPr>
              <w:pStyle w:val="2"/>
              <w:ind w:firstLine="0" w:firstLineChars="0"/>
              <w:rPr>
                <w:rFonts w:ascii="仿宋_GB2312" w:hAnsi="仿宋_GB2312" w:eastAsia="仿宋_GB2312" w:cs="仿宋_GB2312"/>
                <w:b/>
                <w:bCs/>
                <w:color w:val="000000"/>
                <w:kern w:val="0"/>
                <w:sz w:val="22"/>
                <w:szCs w:val="22"/>
                <w:lang w:bidi="ar"/>
              </w:rPr>
            </w:pPr>
            <w:r>
              <w:rPr>
                <w:rFonts w:hint="eastAsia" w:ascii="仿宋_GB2312" w:hAnsi="仿宋_GB2312" w:eastAsia="仿宋_GB2312" w:cs="仿宋_GB2312"/>
                <w:b/>
                <w:bCs/>
                <w:color w:val="000000"/>
                <w:kern w:val="0"/>
                <w:sz w:val="22"/>
                <w:szCs w:val="22"/>
                <w:lang w:bidi="ar"/>
              </w:rPr>
              <w:t>花堆</w:t>
            </w:r>
          </w:p>
        </w:tc>
        <w:tc>
          <w:tcPr>
            <w:tcW w:w="750" w:type="dxa"/>
            <w:vAlign w:val="center"/>
          </w:tcPr>
          <w:p>
            <w:pPr>
              <w:pStyle w:val="2"/>
              <w:ind w:firstLine="0" w:firstLineChars="0"/>
              <w:jc w:val="center"/>
              <w:rPr>
                <w:rFonts w:ascii="仿宋_GB2312" w:hAnsi="仿宋_GB2312" w:eastAsia="仿宋_GB2312" w:cs="仿宋_GB2312"/>
                <w:b/>
                <w:bCs/>
                <w:color w:val="000000"/>
                <w:kern w:val="0"/>
                <w:sz w:val="22"/>
                <w:szCs w:val="22"/>
                <w:lang w:bidi="ar"/>
              </w:rPr>
            </w:pPr>
            <w:r>
              <w:rPr>
                <w:rFonts w:hint="eastAsia" w:ascii="仿宋_GB2312" w:hAnsi="仿宋_GB2312" w:eastAsia="仿宋_GB2312" w:cs="仿宋_GB2312"/>
                <w:b/>
                <w:bCs/>
                <w:color w:val="000000"/>
                <w:kern w:val="0"/>
                <w:sz w:val="22"/>
                <w:szCs w:val="22"/>
                <w:lang w:bidi="ar"/>
              </w:rPr>
              <w:t>摆放时间</w:t>
            </w:r>
          </w:p>
        </w:tc>
        <w:tc>
          <w:tcPr>
            <w:tcW w:w="2354" w:type="dxa"/>
            <w:vAlign w:val="center"/>
          </w:tcPr>
          <w:p>
            <w:pPr>
              <w:pStyle w:val="2"/>
              <w:ind w:firstLine="0" w:firstLineChars="0"/>
              <w:jc w:val="center"/>
              <w:rPr>
                <w:rFonts w:ascii="仿宋_GB2312" w:hAnsi="仿宋_GB2312" w:eastAsia="仿宋_GB2312" w:cs="仿宋_GB2312"/>
                <w:b/>
                <w:bCs/>
                <w:color w:val="000000"/>
                <w:kern w:val="0"/>
                <w:sz w:val="22"/>
                <w:szCs w:val="22"/>
                <w:lang w:bidi="ar"/>
              </w:rPr>
            </w:pPr>
            <w:r>
              <w:rPr>
                <w:rFonts w:hint="eastAsia" w:ascii="仿宋_GB2312" w:hAnsi="仿宋_GB2312" w:eastAsia="仿宋_GB2312" w:cs="仿宋_GB2312"/>
                <w:b/>
                <w:bCs/>
                <w:color w:val="000000"/>
                <w:kern w:val="0"/>
                <w:sz w:val="22"/>
                <w:szCs w:val="22"/>
                <w:lang w:bidi="ar"/>
              </w:rPr>
              <w:t>摆放地点</w:t>
            </w:r>
          </w:p>
        </w:tc>
        <w:tc>
          <w:tcPr>
            <w:tcW w:w="727" w:type="dxa"/>
            <w:vAlign w:val="center"/>
          </w:tcPr>
          <w:p>
            <w:pPr>
              <w:pStyle w:val="2"/>
              <w:ind w:firstLine="0" w:firstLineChars="0"/>
              <w:jc w:val="center"/>
              <w:rPr>
                <w:rFonts w:ascii="仿宋_GB2312" w:hAnsi="仿宋_GB2312" w:eastAsia="仿宋_GB2312" w:cs="仿宋_GB2312"/>
                <w:b/>
                <w:bCs/>
                <w:color w:val="000000"/>
                <w:kern w:val="0"/>
                <w:sz w:val="22"/>
                <w:szCs w:val="22"/>
                <w:lang w:bidi="ar"/>
              </w:rPr>
            </w:pPr>
            <w:r>
              <w:rPr>
                <w:rFonts w:hint="eastAsia" w:ascii="仿宋_GB2312" w:hAnsi="仿宋_GB2312" w:eastAsia="仿宋_GB2312" w:cs="仿宋_GB2312"/>
                <w:b/>
                <w:bCs/>
                <w:color w:val="000000"/>
                <w:kern w:val="0"/>
                <w:sz w:val="22"/>
                <w:szCs w:val="22"/>
                <w:lang w:bidi="ar"/>
              </w:rPr>
              <w:t>面积</w:t>
            </w:r>
          </w:p>
          <w:p>
            <w:pPr>
              <w:pStyle w:val="2"/>
              <w:ind w:firstLine="0" w:firstLineChars="0"/>
              <w:jc w:val="center"/>
              <w:rPr>
                <w:rFonts w:ascii="仿宋_GB2312" w:hAnsi="仿宋_GB2312" w:eastAsia="仿宋_GB2312" w:cs="仿宋_GB2312"/>
                <w:b/>
                <w:bCs/>
                <w:color w:val="000000"/>
                <w:kern w:val="0"/>
                <w:sz w:val="22"/>
                <w:szCs w:val="22"/>
                <w:lang w:bidi="ar"/>
              </w:rPr>
            </w:pPr>
            <w:r>
              <w:rPr>
                <w:rFonts w:hint="eastAsia" w:ascii="仿宋_GB2312" w:hAnsi="仿宋_GB2312" w:eastAsia="仿宋_GB2312" w:cs="仿宋_GB2312"/>
                <w:b/>
                <w:bCs/>
                <w:color w:val="000000"/>
                <w:kern w:val="0"/>
                <w:sz w:val="22"/>
                <w:szCs w:val="22"/>
                <w:lang w:bidi="ar"/>
              </w:rPr>
              <w:t>㎡</w:t>
            </w:r>
          </w:p>
        </w:tc>
        <w:tc>
          <w:tcPr>
            <w:tcW w:w="2296" w:type="dxa"/>
            <w:vAlign w:val="center"/>
          </w:tcPr>
          <w:p>
            <w:pPr>
              <w:pStyle w:val="2"/>
              <w:ind w:firstLine="0" w:firstLineChars="0"/>
              <w:jc w:val="center"/>
              <w:rPr>
                <w:rFonts w:ascii="仿宋_GB2312" w:hAnsi="仿宋_GB2312" w:eastAsia="仿宋_GB2312" w:cs="仿宋_GB2312"/>
                <w:b/>
                <w:bCs/>
                <w:color w:val="000000"/>
                <w:kern w:val="0"/>
                <w:sz w:val="22"/>
                <w:szCs w:val="22"/>
                <w:lang w:bidi="ar"/>
              </w:rPr>
            </w:pPr>
            <w:r>
              <w:rPr>
                <w:rFonts w:ascii="仿宋_GB2312" w:hAnsi="仿宋_GB2312" w:eastAsia="仿宋_GB2312" w:cs="仿宋_GB2312"/>
                <w:b/>
                <w:bCs/>
                <w:color w:val="000000"/>
                <w:kern w:val="0"/>
                <w:sz w:val="22"/>
                <w:szCs w:val="22"/>
                <w:lang w:bidi="ar"/>
              </w:rPr>
              <w:t>单个花堆</w:t>
            </w:r>
          </w:p>
        </w:tc>
        <w:tc>
          <w:tcPr>
            <w:tcW w:w="1315" w:type="dxa"/>
            <w:vAlign w:val="center"/>
          </w:tcPr>
          <w:p>
            <w:pPr>
              <w:widowControl/>
              <w:jc w:val="left"/>
              <w:textAlignment w:val="center"/>
              <w:rPr>
                <w:rFonts w:ascii="仿宋_GB2312" w:hAnsi="仿宋_GB2312" w:eastAsia="仿宋_GB2312" w:cs="仿宋_GB2312"/>
                <w:b/>
                <w:bCs/>
                <w:color w:val="000000"/>
                <w:kern w:val="0"/>
                <w:sz w:val="22"/>
                <w:lang w:bidi="ar"/>
              </w:rPr>
            </w:pPr>
            <w:r>
              <w:rPr>
                <w:rFonts w:hint="eastAsia" w:ascii="仿宋_GB2312" w:hAnsi="仿宋_GB2312" w:eastAsia="仿宋_GB2312" w:cs="仿宋_GB2312"/>
                <w:b/>
                <w:bCs/>
                <w:color w:val="000000"/>
                <w:kern w:val="0"/>
                <w:sz w:val="22"/>
                <w:lang w:bidi="ar"/>
              </w:rPr>
              <w:t>造型更换</w:t>
            </w:r>
          </w:p>
          <w:p>
            <w:pPr>
              <w:widowControl/>
              <w:jc w:val="left"/>
              <w:textAlignment w:val="center"/>
              <w:rPr>
                <w:rFonts w:ascii="仿宋_GB2312" w:hAnsi="仿宋_GB2312" w:eastAsia="仿宋_GB2312" w:cs="仿宋_GB2312"/>
                <w:b/>
                <w:bCs/>
                <w:color w:val="000000"/>
                <w:kern w:val="0"/>
                <w:sz w:val="22"/>
                <w:lang w:bidi="ar"/>
              </w:rPr>
            </w:pPr>
            <w:r>
              <w:rPr>
                <w:rFonts w:hint="eastAsia" w:ascii="仿宋_GB2312" w:hAnsi="仿宋_GB2312" w:eastAsia="仿宋_GB2312" w:cs="仿宋_GB2312"/>
                <w:b/>
                <w:bCs/>
                <w:color w:val="000000"/>
                <w:kern w:val="0"/>
                <w:sz w:val="22"/>
                <w:lang w:bidi="ar"/>
              </w:rPr>
              <w:t>频率</w:t>
            </w:r>
          </w:p>
        </w:tc>
        <w:tc>
          <w:tcPr>
            <w:tcW w:w="1650" w:type="dxa"/>
            <w:vAlign w:val="center"/>
          </w:tcPr>
          <w:p>
            <w:pPr>
              <w:widowControl/>
              <w:ind w:firstLine="504"/>
              <w:jc w:val="left"/>
              <w:textAlignment w:val="center"/>
              <w:rPr>
                <w:rFonts w:ascii="仿宋_GB2312" w:hAnsi="仿宋_GB2312" w:eastAsia="仿宋_GB2312" w:cs="仿宋_GB2312"/>
                <w:b/>
                <w:bCs/>
                <w:color w:val="000000"/>
                <w:kern w:val="0"/>
                <w:sz w:val="22"/>
                <w:lang w:bidi="ar"/>
              </w:rPr>
            </w:pPr>
            <w:r>
              <w:rPr>
                <w:rFonts w:hint="eastAsia" w:ascii="仿宋_GB2312" w:hAnsi="仿宋_GB2312" w:eastAsia="仿宋_GB2312" w:cs="仿宋_GB2312"/>
                <w:b/>
                <w:bCs/>
                <w:color w:val="000000"/>
                <w:kern w:val="0"/>
                <w:sz w:val="22"/>
                <w:lang w:bidi="ar"/>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 w:hRule="atLeast"/>
        </w:trPr>
        <w:tc>
          <w:tcPr>
            <w:tcW w:w="759" w:type="dxa"/>
            <w:vMerge w:val="restart"/>
            <w:vAlign w:val="center"/>
          </w:tcPr>
          <w:p>
            <w:pPr>
              <w:pStyle w:val="2"/>
              <w:ind w:firstLine="0" w:firstLineChars="0"/>
            </w:pPr>
            <w:r>
              <w:rPr>
                <w:rFonts w:hint="eastAsia" w:ascii="仿宋_GB2312" w:hAnsi="仿宋_GB2312" w:eastAsia="仿宋_GB2312" w:cs="仿宋_GB2312"/>
                <w:b/>
                <w:bCs/>
                <w:color w:val="000000"/>
                <w:kern w:val="0"/>
                <w:sz w:val="22"/>
                <w:szCs w:val="22"/>
                <w:lang w:bidi="ar"/>
              </w:rPr>
              <w:t>固定花堆</w:t>
            </w:r>
          </w:p>
        </w:tc>
        <w:tc>
          <w:tcPr>
            <w:tcW w:w="750" w:type="dxa"/>
            <w:vMerge w:val="restart"/>
            <w:vAlign w:val="center"/>
          </w:tcPr>
          <w:p>
            <w:pPr>
              <w:pStyle w:val="2"/>
              <w:ind w:firstLine="0" w:firstLineChars="0"/>
              <w:jc w:val="center"/>
            </w:pPr>
            <w:r>
              <w:rPr>
                <w:rFonts w:hint="eastAsia" w:ascii="仿宋_GB2312" w:hAnsi="仿宋_GB2312" w:eastAsia="仿宋_GB2312" w:cs="仿宋_GB2312"/>
                <w:b/>
                <w:bCs/>
                <w:color w:val="000000"/>
                <w:kern w:val="0"/>
                <w:sz w:val="22"/>
                <w:szCs w:val="22"/>
                <w:lang w:bidi="ar"/>
              </w:rPr>
              <w:t>7个月</w:t>
            </w: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T3到达琉璃墙花堆</w:t>
            </w:r>
          </w:p>
        </w:tc>
        <w:tc>
          <w:tcPr>
            <w:tcW w:w="727" w:type="dxa"/>
            <w:vMerge w:val="restart"/>
            <w:vAlign w:val="center"/>
          </w:tcPr>
          <w:p>
            <w:pPr>
              <w:widowControl/>
              <w:jc w:val="center"/>
              <w:textAlignment w:val="center"/>
              <w:rPr>
                <w:rFonts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30</w:t>
            </w:r>
          </w:p>
        </w:tc>
        <w:tc>
          <w:tcPr>
            <w:tcW w:w="2296" w:type="dxa"/>
            <w:vMerge w:val="restart"/>
            <w:vAlign w:val="center"/>
          </w:tcPr>
          <w:p>
            <w:pPr>
              <w:widowControl/>
              <w:jc w:val="left"/>
              <w:textAlignment w:val="center"/>
              <w:rPr>
                <w:rFonts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植物</w:t>
            </w:r>
            <w:r>
              <w:rPr>
                <w:rFonts w:ascii="仿宋_GB2312" w:hAnsi="仿宋_GB2312" w:eastAsia="仿宋_GB2312" w:cs="仿宋_GB2312"/>
                <w:color w:val="000000"/>
                <w:kern w:val="0"/>
                <w:sz w:val="22"/>
                <w:lang w:bidi="ar"/>
              </w:rPr>
              <w:t>不少于</w:t>
            </w:r>
            <w:r>
              <w:rPr>
                <w:rFonts w:hint="eastAsia" w:ascii="仿宋_GB2312" w:hAnsi="仿宋_GB2312" w:eastAsia="仿宋_GB2312" w:cs="仿宋_GB2312"/>
                <w:color w:val="000000"/>
                <w:kern w:val="0"/>
                <w:sz w:val="22"/>
                <w:lang w:bidi="ar"/>
              </w:rPr>
              <w:t>3</w:t>
            </w:r>
            <w:r>
              <w:rPr>
                <w:rFonts w:ascii="仿宋_GB2312" w:hAnsi="仿宋_GB2312" w:eastAsia="仿宋_GB2312" w:cs="仿宋_GB2312"/>
                <w:color w:val="000000"/>
                <w:kern w:val="0"/>
                <w:sz w:val="22"/>
                <w:lang w:bidi="ar"/>
              </w:rPr>
              <w:t>种，艳丽高档花卉品种不少于</w:t>
            </w:r>
            <w:r>
              <w:rPr>
                <w:rFonts w:hint="eastAsia" w:ascii="仿宋_GB2312" w:hAnsi="仿宋_GB2312" w:eastAsia="仿宋_GB2312" w:cs="仿宋_GB2312"/>
                <w:color w:val="000000"/>
                <w:kern w:val="0"/>
                <w:sz w:val="22"/>
                <w:lang w:bidi="ar"/>
              </w:rPr>
              <w:t>1</w:t>
            </w:r>
            <w:r>
              <w:rPr>
                <w:rFonts w:ascii="仿宋_GB2312" w:hAnsi="仿宋_GB2312" w:eastAsia="仿宋_GB2312" w:cs="仿宋_GB2312"/>
                <w:color w:val="000000"/>
                <w:kern w:val="0"/>
                <w:sz w:val="22"/>
                <w:lang w:bidi="ar"/>
              </w:rPr>
              <w:t>种，总量不少于4</w:t>
            </w:r>
            <w:r>
              <w:rPr>
                <w:rFonts w:hint="eastAsia" w:ascii="仿宋_GB2312" w:hAnsi="仿宋_GB2312" w:eastAsia="仿宋_GB2312" w:cs="仿宋_GB2312"/>
                <w:color w:val="000000"/>
                <w:kern w:val="0"/>
                <w:sz w:val="22"/>
                <w:lang w:bidi="ar"/>
              </w:rPr>
              <w:t>8</w:t>
            </w:r>
            <w:r>
              <w:rPr>
                <w:rFonts w:ascii="仿宋_GB2312" w:hAnsi="仿宋_GB2312" w:eastAsia="仿宋_GB2312" w:cs="仿宋_GB2312"/>
                <w:color w:val="000000"/>
                <w:kern w:val="0"/>
                <w:sz w:val="22"/>
                <w:lang w:bidi="ar"/>
              </w:rPr>
              <w:t>0盆</w:t>
            </w:r>
            <w:r>
              <w:rPr>
                <w:rFonts w:hint="eastAsia" w:ascii="仿宋_GB2312" w:hAnsi="仿宋_GB2312" w:eastAsia="仿宋_GB2312" w:cs="仿宋_GB2312"/>
                <w:color w:val="000000"/>
                <w:kern w:val="0"/>
                <w:sz w:val="22"/>
                <w:lang w:bidi="ar"/>
              </w:rPr>
              <w:t>。</w:t>
            </w:r>
          </w:p>
          <w:p>
            <w:pPr>
              <w:widowControl/>
              <w:jc w:val="left"/>
              <w:textAlignment w:val="center"/>
              <w:rPr>
                <w:rFonts w:ascii="仿宋_GB2312" w:hAnsi="仿宋_GB2312" w:eastAsia="仿宋_GB2312" w:cs="仿宋_GB2312"/>
                <w:color w:val="000000"/>
                <w:kern w:val="0"/>
                <w:sz w:val="22"/>
                <w:lang w:bidi="ar"/>
              </w:rPr>
            </w:pPr>
          </w:p>
        </w:tc>
        <w:tc>
          <w:tcPr>
            <w:tcW w:w="1315" w:type="dxa"/>
            <w:vMerge w:val="restart"/>
            <w:vAlign w:val="center"/>
          </w:tcPr>
          <w:p>
            <w:pPr>
              <w:pStyle w:val="2"/>
              <w:ind w:firstLine="0" w:firstLineChars="0"/>
              <w:jc w:val="center"/>
            </w:pPr>
            <w:r>
              <w:rPr>
                <w:rFonts w:ascii="仿宋_GB2312" w:hAnsi="仿宋_GB2312" w:eastAsia="仿宋_GB2312" w:cs="仿宋_GB2312"/>
                <w:color w:val="000000"/>
                <w:kern w:val="0"/>
                <w:sz w:val="22"/>
                <w:szCs w:val="22"/>
                <w:lang w:bidi="ar"/>
              </w:rPr>
              <w:t>每季度更换一次</w:t>
            </w:r>
          </w:p>
        </w:tc>
        <w:tc>
          <w:tcPr>
            <w:tcW w:w="1650" w:type="dxa"/>
            <w:vMerge w:val="restart"/>
            <w:vAlign w:val="center"/>
          </w:tcPr>
          <w:p>
            <w:pPr>
              <w:pStyle w:val="2"/>
              <w:ind w:firstLine="0" w:firstLineChars="0"/>
              <w:jc w:val="center"/>
              <w:rPr>
                <w:rFonts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名贵花卉不少于30%；</w:t>
            </w:r>
          </w:p>
          <w:p>
            <w:pPr>
              <w:pStyle w:val="2"/>
              <w:ind w:firstLine="0" w:firstLineChars="0"/>
              <w:jc w:val="center"/>
              <w:rPr>
                <w:rFonts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时令花卉不少于40%；</w:t>
            </w:r>
          </w:p>
          <w:p>
            <w:pPr>
              <w:pStyle w:val="2"/>
              <w:ind w:firstLine="0" w:firstLineChars="0"/>
              <w:jc w:val="center"/>
              <w:rPr>
                <w:rFonts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绿植不少于30%</w:t>
            </w:r>
          </w:p>
          <w:p>
            <w:pPr>
              <w:pStyle w:val="2"/>
              <w:ind w:firstLine="0" w:firstLineChars="0"/>
              <w:jc w:val="center"/>
              <w:rPr>
                <w:rFonts w:ascii="仿宋_GB2312" w:hAnsi="仿宋_GB2312" w:eastAsia="仿宋_GB2312" w:cs="仿宋_GB2312"/>
                <w:color w:val="000000"/>
                <w:kern w:val="0"/>
                <w:sz w:val="22"/>
                <w:szCs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 w:hRule="atLeast"/>
        </w:trPr>
        <w:tc>
          <w:tcPr>
            <w:tcW w:w="759"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rPr>
                <w:rFonts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T3到达文化墙花堆</w:t>
            </w:r>
          </w:p>
        </w:tc>
        <w:tc>
          <w:tcPr>
            <w:tcW w:w="727" w:type="dxa"/>
            <w:vMerge w:val="continue"/>
            <w:vAlign w:val="center"/>
          </w:tcPr>
          <w:p>
            <w:pPr>
              <w:widowControl/>
              <w:jc w:val="center"/>
              <w:textAlignment w:val="center"/>
              <w:rPr>
                <w:rFonts w:ascii="仿宋_GB2312" w:hAnsi="仿宋_GB2312" w:eastAsia="仿宋_GB2312" w:cs="仿宋_GB2312"/>
                <w:color w:val="000000"/>
                <w:kern w:val="0"/>
                <w:sz w:val="22"/>
                <w:lang w:bidi="ar"/>
              </w:rPr>
            </w:pPr>
          </w:p>
        </w:tc>
        <w:tc>
          <w:tcPr>
            <w:tcW w:w="2296" w:type="dxa"/>
            <w:vMerge w:val="continue"/>
            <w:vAlign w:val="center"/>
          </w:tcPr>
          <w:p>
            <w:pPr>
              <w:pStyle w:val="2"/>
              <w:ind w:firstLine="0" w:firstLineChars="0"/>
              <w:jc w:val="left"/>
              <w:rPr>
                <w:rFonts w:ascii="仿宋_GB2312" w:hAnsi="仿宋_GB2312" w:eastAsia="仿宋_GB2312" w:cs="仿宋_GB2312"/>
                <w:color w:val="000000"/>
                <w:kern w:val="0"/>
                <w:sz w:val="22"/>
                <w:szCs w:val="22"/>
                <w:lang w:bidi="ar"/>
              </w:rP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trPr>
        <w:tc>
          <w:tcPr>
            <w:tcW w:w="759"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T3到达夹层花堆</w:t>
            </w:r>
          </w:p>
        </w:tc>
        <w:tc>
          <w:tcPr>
            <w:tcW w:w="727" w:type="dxa"/>
            <w:vMerge w:val="continue"/>
            <w:vAlign w:val="center"/>
          </w:tcPr>
          <w:p>
            <w:pPr>
              <w:widowControl/>
              <w:jc w:val="center"/>
              <w:textAlignment w:val="center"/>
              <w:rPr>
                <w:rFonts w:ascii="仿宋_GB2312" w:hAnsi="仿宋_GB2312" w:eastAsia="仿宋_GB2312" w:cs="仿宋_GB2312"/>
                <w:color w:val="000000"/>
                <w:kern w:val="0"/>
                <w:sz w:val="22"/>
                <w:lang w:bidi="ar"/>
              </w:rPr>
            </w:pPr>
          </w:p>
        </w:tc>
        <w:tc>
          <w:tcPr>
            <w:tcW w:w="2296" w:type="dxa"/>
            <w:vMerge w:val="continue"/>
            <w:vAlign w:val="center"/>
          </w:tcPr>
          <w:p>
            <w:pPr>
              <w:pStyle w:val="2"/>
              <w:ind w:firstLine="0" w:firstLineChars="0"/>
              <w:jc w:val="left"/>
              <w:rPr>
                <w:rFonts w:ascii="仿宋_GB2312" w:hAnsi="仿宋_GB2312" w:eastAsia="仿宋_GB2312" w:cs="仿宋_GB2312"/>
                <w:color w:val="000000"/>
                <w:kern w:val="0"/>
                <w:sz w:val="22"/>
                <w:szCs w:val="22"/>
                <w:lang w:bidi="ar"/>
              </w:rP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trPr>
        <w:tc>
          <w:tcPr>
            <w:tcW w:w="759"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3号门花堆</w:t>
            </w:r>
          </w:p>
        </w:tc>
        <w:tc>
          <w:tcPr>
            <w:tcW w:w="727" w:type="dxa"/>
            <w:vMerge w:val="restart"/>
            <w:vAlign w:val="center"/>
          </w:tcPr>
          <w:p>
            <w:pPr>
              <w:widowControl/>
              <w:jc w:val="center"/>
              <w:textAlignment w:val="center"/>
              <w:rPr>
                <w:rFonts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15</w:t>
            </w:r>
          </w:p>
        </w:tc>
        <w:tc>
          <w:tcPr>
            <w:tcW w:w="2296" w:type="dxa"/>
            <w:vMerge w:val="restart"/>
            <w:vAlign w:val="center"/>
          </w:tcPr>
          <w:p>
            <w:pPr>
              <w:widowControl/>
              <w:jc w:val="left"/>
              <w:textAlignment w:val="center"/>
              <w:rPr>
                <w:rFonts w:ascii="仿宋_GB2312" w:hAnsi="仿宋_GB2312" w:eastAsia="仿宋_GB2312" w:cs="仿宋_GB2312"/>
                <w:color w:val="000000"/>
                <w:kern w:val="0"/>
                <w:sz w:val="22"/>
                <w:lang w:bidi="ar"/>
              </w:rPr>
            </w:pPr>
            <w:r>
              <w:rPr>
                <w:rFonts w:ascii="仿宋_GB2312" w:hAnsi="仿宋_GB2312" w:eastAsia="仿宋_GB2312" w:cs="仿宋_GB2312"/>
                <w:color w:val="000000"/>
                <w:kern w:val="0"/>
                <w:sz w:val="22"/>
                <w:lang w:bidi="ar"/>
              </w:rPr>
              <w:t>绿植品种不少于</w:t>
            </w:r>
            <w:r>
              <w:rPr>
                <w:rFonts w:hint="eastAsia" w:ascii="仿宋_GB2312" w:hAnsi="仿宋_GB2312" w:eastAsia="仿宋_GB2312" w:cs="仿宋_GB2312"/>
                <w:color w:val="000000"/>
                <w:kern w:val="0"/>
                <w:sz w:val="22"/>
                <w:lang w:bidi="ar"/>
              </w:rPr>
              <w:t>3</w:t>
            </w:r>
            <w:r>
              <w:rPr>
                <w:rFonts w:ascii="仿宋_GB2312" w:hAnsi="仿宋_GB2312" w:eastAsia="仿宋_GB2312" w:cs="仿宋_GB2312"/>
                <w:color w:val="000000"/>
                <w:kern w:val="0"/>
                <w:sz w:val="22"/>
                <w:lang w:bidi="ar"/>
              </w:rPr>
              <w:t>种，花卉品种不少于</w:t>
            </w:r>
            <w:r>
              <w:rPr>
                <w:rFonts w:hint="eastAsia" w:ascii="仿宋_GB2312" w:hAnsi="仿宋_GB2312" w:eastAsia="仿宋_GB2312" w:cs="仿宋_GB2312"/>
                <w:color w:val="000000"/>
                <w:kern w:val="0"/>
                <w:sz w:val="22"/>
                <w:lang w:bidi="ar"/>
              </w:rPr>
              <w:t>2</w:t>
            </w:r>
            <w:r>
              <w:rPr>
                <w:rFonts w:ascii="仿宋_GB2312" w:hAnsi="仿宋_GB2312" w:eastAsia="仿宋_GB2312" w:cs="仿宋_GB2312"/>
                <w:color w:val="000000"/>
                <w:kern w:val="0"/>
                <w:sz w:val="22"/>
                <w:lang w:bidi="ar"/>
              </w:rPr>
              <w:t>种（</w:t>
            </w:r>
            <w:r>
              <w:rPr>
                <w:rFonts w:hint="eastAsia" w:ascii="仿宋_GB2312" w:hAnsi="仿宋_GB2312" w:eastAsia="仿宋_GB2312" w:cs="仿宋_GB2312"/>
                <w:color w:val="000000"/>
                <w:kern w:val="0"/>
                <w:sz w:val="22"/>
                <w:lang w:bidi="ar"/>
              </w:rPr>
              <w:t>为</w:t>
            </w:r>
            <w:r>
              <w:rPr>
                <w:rFonts w:ascii="仿宋_GB2312" w:hAnsi="仿宋_GB2312" w:eastAsia="仿宋_GB2312" w:cs="仿宋_GB2312"/>
                <w:color w:val="000000"/>
                <w:kern w:val="0"/>
                <w:sz w:val="22"/>
                <w:lang w:bidi="ar"/>
              </w:rPr>
              <w:t>当季艳丽高档花卉），盆花总量不少于</w:t>
            </w:r>
            <w:r>
              <w:rPr>
                <w:rFonts w:hint="eastAsia" w:ascii="仿宋_GB2312" w:hAnsi="仿宋_GB2312" w:eastAsia="仿宋_GB2312" w:cs="仿宋_GB2312"/>
                <w:color w:val="000000"/>
                <w:kern w:val="0"/>
                <w:sz w:val="22"/>
                <w:lang w:bidi="ar"/>
              </w:rPr>
              <w:t>240</w:t>
            </w:r>
            <w:r>
              <w:rPr>
                <w:rFonts w:ascii="仿宋_GB2312" w:hAnsi="仿宋_GB2312" w:eastAsia="仿宋_GB2312" w:cs="仿宋_GB2312"/>
                <w:color w:val="000000"/>
                <w:kern w:val="0"/>
                <w:sz w:val="22"/>
                <w:lang w:bidi="ar"/>
              </w:rPr>
              <w:t>盆</w:t>
            </w:r>
            <w:r>
              <w:rPr>
                <w:rFonts w:hint="eastAsia" w:ascii="仿宋_GB2312" w:hAnsi="仿宋_GB2312" w:eastAsia="仿宋_GB2312" w:cs="仿宋_GB2312"/>
                <w:color w:val="000000"/>
                <w:kern w:val="0"/>
                <w:sz w:val="22"/>
                <w:lang w:bidi="ar"/>
              </w:rPr>
              <w:t>。</w:t>
            </w: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3" w:hRule="atLeast"/>
        </w:trPr>
        <w:tc>
          <w:tcPr>
            <w:tcW w:w="759"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T1“文明圣地”花堆</w:t>
            </w:r>
          </w:p>
        </w:tc>
        <w:tc>
          <w:tcPr>
            <w:tcW w:w="727" w:type="dxa"/>
            <w:vMerge w:val="continue"/>
            <w:vAlign w:val="center"/>
          </w:tcPr>
          <w:p>
            <w:pPr>
              <w:widowControl/>
              <w:jc w:val="center"/>
              <w:textAlignment w:val="center"/>
              <w:rPr>
                <w:rFonts w:ascii="仿宋_GB2312" w:hAnsi="仿宋_GB2312" w:eastAsia="仿宋_GB2312" w:cs="仿宋_GB2312"/>
                <w:color w:val="000000"/>
                <w:kern w:val="0"/>
                <w:sz w:val="22"/>
                <w:lang w:bidi="ar"/>
              </w:rPr>
            </w:pPr>
          </w:p>
        </w:tc>
        <w:tc>
          <w:tcPr>
            <w:tcW w:w="2296" w:type="dxa"/>
            <w:vMerge w:val="continue"/>
            <w:vAlign w:val="center"/>
          </w:tcPr>
          <w:p>
            <w:pPr>
              <w:widowControl/>
              <w:jc w:val="left"/>
              <w:textAlignment w:val="center"/>
              <w:rPr>
                <w:rFonts w:ascii="仿宋_GB2312" w:hAnsi="仿宋_GB2312" w:eastAsia="仿宋_GB2312" w:cs="仿宋_GB2312"/>
                <w:color w:val="000000"/>
                <w:kern w:val="0"/>
                <w:sz w:val="22"/>
                <w:lang w:bidi="ar"/>
              </w:rP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 w:hRule="atLeast"/>
        </w:trPr>
        <w:tc>
          <w:tcPr>
            <w:tcW w:w="759"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7号门花堆</w:t>
            </w:r>
          </w:p>
        </w:tc>
        <w:tc>
          <w:tcPr>
            <w:tcW w:w="727" w:type="dxa"/>
            <w:vMerge w:val="continue"/>
            <w:vAlign w:val="center"/>
          </w:tcPr>
          <w:p>
            <w:pPr>
              <w:widowControl/>
              <w:jc w:val="center"/>
              <w:textAlignment w:val="center"/>
              <w:rPr>
                <w:rFonts w:ascii="仿宋_GB2312" w:hAnsi="仿宋_GB2312" w:eastAsia="仿宋_GB2312" w:cs="仿宋_GB2312"/>
                <w:color w:val="000000"/>
                <w:kern w:val="0"/>
                <w:sz w:val="22"/>
                <w:lang w:bidi="ar"/>
              </w:rPr>
            </w:pPr>
          </w:p>
        </w:tc>
        <w:tc>
          <w:tcPr>
            <w:tcW w:w="2296" w:type="dxa"/>
            <w:vMerge w:val="continue"/>
            <w:vAlign w:val="center"/>
          </w:tcPr>
          <w:p>
            <w:pPr>
              <w:widowControl/>
              <w:jc w:val="left"/>
              <w:textAlignment w:val="center"/>
              <w:rPr>
                <w:rFonts w:ascii="仿宋_GB2312" w:hAnsi="仿宋_GB2312" w:eastAsia="仿宋_GB2312" w:cs="仿宋_GB2312"/>
                <w:color w:val="000000"/>
                <w:kern w:val="0"/>
                <w:sz w:val="22"/>
                <w:lang w:bidi="ar"/>
              </w:rP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trPr>
        <w:tc>
          <w:tcPr>
            <w:tcW w:w="759"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G-H岛花堆</w:t>
            </w:r>
          </w:p>
        </w:tc>
        <w:tc>
          <w:tcPr>
            <w:tcW w:w="727" w:type="dxa"/>
            <w:vMerge w:val="continue"/>
            <w:vAlign w:val="center"/>
          </w:tcPr>
          <w:p>
            <w:pPr>
              <w:widowControl/>
              <w:jc w:val="center"/>
              <w:textAlignment w:val="center"/>
              <w:rPr>
                <w:rFonts w:ascii="仿宋_GB2312" w:hAnsi="仿宋_GB2312" w:eastAsia="仿宋_GB2312" w:cs="仿宋_GB2312"/>
                <w:color w:val="000000"/>
                <w:kern w:val="0"/>
                <w:sz w:val="22"/>
                <w:lang w:bidi="ar"/>
              </w:rPr>
            </w:pPr>
          </w:p>
        </w:tc>
        <w:tc>
          <w:tcPr>
            <w:tcW w:w="2296" w:type="dxa"/>
            <w:vMerge w:val="continue"/>
            <w:vAlign w:val="center"/>
          </w:tcPr>
          <w:p>
            <w:pPr>
              <w:widowControl/>
              <w:jc w:val="left"/>
              <w:textAlignment w:val="center"/>
              <w:rPr>
                <w:rFonts w:ascii="仿宋_GB2312" w:hAnsi="仿宋_GB2312" w:eastAsia="仿宋_GB2312" w:cs="仿宋_GB2312"/>
                <w:color w:val="000000"/>
                <w:kern w:val="0"/>
                <w:sz w:val="22"/>
                <w:lang w:bidi="ar"/>
              </w:rP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trPr>
        <w:tc>
          <w:tcPr>
            <w:tcW w:w="759"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T3隔离区圈椅花堆</w:t>
            </w:r>
          </w:p>
        </w:tc>
        <w:tc>
          <w:tcPr>
            <w:tcW w:w="727" w:type="dxa"/>
            <w:vMerge w:val="continue"/>
            <w:vAlign w:val="center"/>
          </w:tcPr>
          <w:p>
            <w:pPr>
              <w:widowControl/>
              <w:jc w:val="center"/>
              <w:textAlignment w:val="center"/>
              <w:rPr>
                <w:rFonts w:ascii="仿宋_GB2312" w:hAnsi="仿宋_GB2312" w:eastAsia="仿宋_GB2312" w:cs="仿宋_GB2312"/>
                <w:color w:val="000000"/>
                <w:kern w:val="0"/>
                <w:sz w:val="22"/>
                <w:lang w:bidi="ar"/>
              </w:rPr>
            </w:pPr>
          </w:p>
        </w:tc>
        <w:tc>
          <w:tcPr>
            <w:tcW w:w="2296" w:type="dxa"/>
            <w:vMerge w:val="continue"/>
            <w:vAlign w:val="center"/>
          </w:tcPr>
          <w:p>
            <w:pPr>
              <w:widowControl/>
              <w:jc w:val="left"/>
              <w:textAlignment w:val="center"/>
              <w:rPr>
                <w:rFonts w:ascii="仿宋_GB2312" w:hAnsi="仿宋_GB2312" w:eastAsia="仿宋_GB2312" w:cs="仿宋_GB2312"/>
                <w:color w:val="000000"/>
                <w:kern w:val="0"/>
                <w:sz w:val="22"/>
                <w:lang w:bidi="ar"/>
              </w:rP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 w:hRule="atLeast"/>
        </w:trPr>
        <w:tc>
          <w:tcPr>
            <w:tcW w:w="759" w:type="dxa"/>
            <w:vMerge w:val="restart"/>
            <w:vAlign w:val="center"/>
          </w:tcPr>
          <w:p>
            <w:pPr>
              <w:widowControl/>
              <w:jc w:val="center"/>
              <w:textAlignment w:val="center"/>
            </w:pPr>
            <w:r>
              <w:rPr>
                <w:rFonts w:hint="eastAsia" w:ascii="仿宋_GB2312" w:hAnsi="仿宋_GB2312" w:eastAsia="仿宋_GB2312" w:cs="仿宋_GB2312"/>
                <w:b/>
                <w:bCs/>
                <w:color w:val="000000"/>
                <w:kern w:val="0"/>
                <w:sz w:val="22"/>
                <w:lang w:bidi="ar"/>
              </w:rPr>
              <w:t>节假日花堆</w:t>
            </w:r>
          </w:p>
        </w:tc>
        <w:tc>
          <w:tcPr>
            <w:tcW w:w="750" w:type="dxa"/>
            <w:vMerge w:val="restart"/>
            <w:vAlign w:val="center"/>
          </w:tcPr>
          <w:p>
            <w:pPr>
              <w:pStyle w:val="2"/>
              <w:ind w:firstLine="0" w:firstLineChars="0"/>
              <w:jc w:val="center"/>
            </w:pPr>
            <w:r>
              <w:rPr>
                <w:rFonts w:hint="eastAsia" w:ascii="仿宋_GB2312" w:hAnsi="仿宋_GB2312" w:eastAsia="仿宋_GB2312" w:cs="仿宋_GB2312"/>
                <w:b/>
                <w:bCs/>
                <w:color w:val="000000"/>
                <w:kern w:val="0"/>
                <w:sz w:val="22"/>
                <w:szCs w:val="22"/>
                <w:lang w:bidi="ar"/>
              </w:rPr>
              <w:t>5个月</w:t>
            </w: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T3到达文化墙花堆</w:t>
            </w:r>
          </w:p>
        </w:tc>
        <w:tc>
          <w:tcPr>
            <w:tcW w:w="727" w:type="dxa"/>
            <w:vMerge w:val="restart"/>
            <w:vAlign w:val="center"/>
          </w:tcPr>
          <w:p>
            <w:pPr>
              <w:pStyle w:val="2"/>
              <w:ind w:firstLine="0" w:firstLineChars="0"/>
              <w:jc w:val="center"/>
            </w:pPr>
            <w:r>
              <w:rPr>
                <w:rFonts w:hint="eastAsia"/>
              </w:rPr>
              <w:t>30</w:t>
            </w:r>
          </w:p>
        </w:tc>
        <w:tc>
          <w:tcPr>
            <w:tcW w:w="2296" w:type="dxa"/>
            <w:vMerge w:val="restart"/>
            <w:vAlign w:val="center"/>
          </w:tcPr>
          <w:p>
            <w:pPr>
              <w:widowControl/>
              <w:jc w:val="left"/>
              <w:textAlignment w:val="center"/>
              <w:rPr>
                <w:rFonts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植物</w:t>
            </w:r>
            <w:r>
              <w:rPr>
                <w:rFonts w:ascii="仿宋_GB2312" w:hAnsi="仿宋_GB2312" w:eastAsia="仿宋_GB2312" w:cs="仿宋_GB2312"/>
                <w:color w:val="000000"/>
                <w:kern w:val="0"/>
                <w:sz w:val="22"/>
                <w:lang w:bidi="ar"/>
              </w:rPr>
              <w:t>不少于</w:t>
            </w:r>
            <w:r>
              <w:rPr>
                <w:rFonts w:hint="eastAsia" w:ascii="仿宋_GB2312" w:hAnsi="仿宋_GB2312" w:eastAsia="仿宋_GB2312" w:cs="仿宋_GB2312"/>
                <w:color w:val="000000"/>
                <w:kern w:val="0"/>
                <w:sz w:val="22"/>
                <w:lang w:bidi="ar"/>
              </w:rPr>
              <w:t>3</w:t>
            </w:r>
            <w:r>
              <w:rPr>
                <w:rFonts w:ascii="仿宋_GB2312" w:hAnsi="仿宋_GB2312" w:eastAsia="仿宋_GB2312" w:cs="仿宋_GB2312"/>
                <w:color w:val="000000"/>
                <w:kern w:val="0"/>
                <w:sz w:val="22"/>
                <w:lang w:bidi="ar"/>
              </w:rPr>
              <w:t>种，艳丽高档花卉品种不少于</w:t>
            </w:r>
            <w:r>
              <w:rPr>
                <w:rFonts w:hint="eastAsia" w:ascii="仿宋_GB2312" w:hAnsi="仿宋_GB2312" w:eastAsia="仿宋_GB2312" w:cs="仿宋_GB2312"/>
                <w:color w:val="000000"/>
                <w:kern w:val="0"/>
                <w:sz w:val="22"/>
                <w:lang w:bidi="ar"/>
              </w:rPr>
              <w:t>1</w:t>
            </w:r>
            <w:r>
              <w:rPr>
                <w:rFonts w:ascii="仿宋_GB2312" w:hAnsi="仿宋_GB2312" w:eastAsia="仿宋_GB2312" w:cs="仿宋_GB2312"/>
                <w:color w:val="000000"/>
                <w:kern w:val="0"/>
                <w:sz w:val="22"/>
                <w:lang w:bidi="ar"/>
              </w:rPr>
              <w:t>种，总量不少于4</w:t>
            </w:r>
            <w:r>
              <w:rPr>
                <w:rFonts w:hint="eastAsia" w:ascii="仿宋_GB2312" w:hAnsi="仿宋_GB2312" w:eastAsia="仿宋_GB2312" w:cs="仿宋_GB2312"/>
                <w:color w:val="000000"/>
                <w:kern w:val="0"/>
                <w:sz w:val="22"/>
                <w:lang w:bidi="ar"/>
              </w:rPr>
              <w:t>8</w:t>
            </w:r>
            <w:r>
              <w:rPr>
                <w:rFonts w:ascii="仿宋_GB2312" w:hAnsi="仿宋_GB2312" w:eastAsia="仿宋_GB2312" w:cs="仿宋_GB2312"/>
                <w:color w:val="000000"/>
                <w:kern w:val="0"/>
                <w:sz w:val="22"/>
                <w:lang w:bidi="ar"/>
              </w:rPr>
              <w:t>0盆</w:t>
            </w:r>
            <w:r>
              <w:rPr>
                <w:rFonts w:hint="eastAsia" w:ascii="仿宋_GB2312" w:hAnsi="仿宋_GB2312" w:eastAsia="仿宋_GB2312" w:cs="仿宋_GB2312"/>
                <w:color w:val="000000"/>
                <w:kern w:val="0"/>
                <w:sz w:val="22"/>
                <w:lang w:bidi="ar"/>
              </w:rPr>
              <w:t>。</w:t>
            </w:r>
          </w:p>
        </w:tc>
        <w:tc>
          <w:tcPr>
            <w:tcW w:w="1315" w:type="dxa"/>
            <w:vMerge w:val="restart"/>
            <w:vAlign w:val="center"/>
          </w:tcPr>
          <w:p>
            <w:pPr>
              <w:widowControl/>
              <w:jc w:val="left"/>
              <w:textAlignment w:val="center"/>
              <w:rPr>
                <w:rFonts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每个节假日更换一次。</w:t>
            </w:r>
          </w:p>
          <w:p>
            <w:pPr>
              <w:pStyle w:val="2"/>
              <w:ind w:firstLine="0" w:firstLineChars="0"/>
              <w:jc w:val="center"/>
            </w:pPr>
          </w:p>
        </w:tc>
        <w:tc>
          <w:tcPr>
            <w:tcW w:w="1650" w:type="dxa"/>
            <w:vMerge w:val="restart"/>
            <w:vAlign w:val="center"/>
          </w:tcPr>
          <w:p>
            <w:pPr>
              <w:pStyle w:val="2"/>
              <w:ind w:firstLine="0" w:firstLineChars="0"/>
              <w:jc w:val="center"/>
              <w:rPr>
                <w:rFonts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名贵花卉不少于40%；</w:t>
            </w:r>
          </w:p>
          <w:p>
            <w:pPr>
              <w:pStyle w:val="2"/>
              <w:ind w:firstLine="0" w:firstLineChars="0"/>
              <w:jc w:val="center"/>
              <w:rPr>
                <w:rFonts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时令花卉不少于35%；</w:t>
            </w:r>
          </w:p>
          <w:p>
            <w:pPr>
              <w:pStyle w:val="2"/>
              <w:ind w:firstLine="0" w:firstLineChars="0"/>
              <w:jc w:val="center"/>
              <w:rPr>
                <w:rFonts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绿植不少于25%</w:t>
            </w:r>
          </w:p>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 w:hRule="atLeast"/>
        </w:trPr>
        <w:tc>
          <w:tcPr>
            <w:tcW w:w="759" w:type="dxa"/>
            <w:vMerge w:val="continue"/>
            <w:vAlign w:val="center"/>
          </w:tcPr>
          <w:p>
            <w:pPr>
              <w:widowControl/>
              <w:jc w:val="center"/>
              <w:textAlignment w:val="center"/>
              <w:rPr>
                <w:rFonts w:ascii="仿宋_GB2312" w:hAnsi="仿宋_GB2312" w:eastAsia="仿宋_GB2312" w:cs="仿宋_GB2312"/>
                <w:b/>
                <w:bCs/>
                <w:color w:val="000000"/>
                <w:kern w:val="0"/>
                <w:sz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rPr>
                <w:rFonts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T3到达琉璃墙花堆</w:t>
            </w:r>
          </w:p>
        </w:tc>
        <w:tc>
          <w:tcPr>
            <w:tcW w:w="727" w:type="dxa"/>
            <w:vMerge w:val="continue"/>
            <w:vAlign w:val="center"/>
          </w:tcPr>
          <w:p>
            <w:pPr>
              <w:pStyle w:val="2"/>
              <w:ind w:firstLine="0" w:firstLineChars="0"/>
              <w:jc w:val="center"/>
            </w:pPr>
          </w:p>
        </w:tc>
        <w:tc>
          <w:tcPr>
            <w:tcW w:w="2296" w:type="dxa"/>
            <w:vMerge w:val="continue"/>
            <w:vAlign w:val="center"/>
          </w:tcPr>
          <w:p>
            <w:pPr>
              <w:widowControl/>
              <w:jc w:val="left"/>
              <w:textAlignment w:val="center"/>
              <w:rPr>
                <w:rFonts w:ascii="仿宋_GB2312" w:hAnsi="仿宋_GB2312" w:eastAsia="仿宋_GB2312" w:cs="仿宋_GB2312"/>
                <w:color w:val="000000"/>
                <w:kern w:val="0"/>
                <w:sz w:val="22"/>
                <w:lang w:bidi="ar"/>
              </w:rP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 w:hRule="atLeast"/>
        </w:trPr>
        <w:tc>
          <w:tcPr>
            <w:tcW w:w="759" w:type="dxa"/>
            <w:vMerge w:val="continue"/>
            <w:vAlign w:val="center"/>
          </w:tcPr>
          <w:p>
            <w:pPr>
              <w:widowControl/>
              <w:jc w:val="center"/>
              <w:textAlignment w:val="center"/>
              <w:rPr>
                <w:rFonts w:ascii="仿宋_GB2312" w:hAnsi="仿宋_GB2312" w:eastAsia="仿宋_GB2312" w:cs="仿宋_GB2312"/>
                <w:b/>
                <w:bCs/>
                <w:color w:val="000000"/>
                <w:kern w:val="0"/>
                <w:sz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rPr>
                <w:rFonts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T3到达夹层花堆</w:t>
            </w:r>
          </w:p>
        </w:tc>
        <w:tc>
          <w:tcPr>
            <w:tcW w:w="727" w:type="dxa"/>
            <w:vMerge w:val="continue"/>
            <w:vAlign w:val="center"/>
          </w:tcPr>
          <w:p>
            <w:pPr>
              <w:pStyle w:val="2"/>
              <w:ind w:firstLine="0" w:firstLineChars="0"/>
              <w:jc w:val="center"/>
            </w:pPr>
          </w:p>
        </w:tc>
        <w:tc>
          <w:tcPr>
            <w:tcW w:w="2296" w:type="dxa"/>
            <w:vMerge w:val="continue"/>
            <w:vAlign w:val="center"/>
          </w:tcPr>
          <w:p>
            <w:pPr>
              <w:widowControl/>
              <w:jc w:val="left"/>
              <w:textAlignment w:val="center"/>
              <w:rPr>
                <w:rFonts w:ascii="仿宋_GB2312" w:hAnsi="仿宋_GB2312" w:eastAsia="仿宋_GB2312" w:cs="仿宋_GB2312"/>
                <w:color w:val="000000"/>
                <w:kern w:val="0"/>
                <w:sz w:val="22"/>
                <w:lang w:bidi="ar"/>
              </w:rP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8" w:hRule="atLeast"/>
        </w:trPr>
        <w:tc>
          <w:tcPr>
            <w:tcW w:w="759" w:type="dxa"/>
            <w:vMerge w:val="continue"/>
            <w:vAlign w:val="center"/>
          </w:tcPr>
          <w:p>
            <w:pPr>
              <w:widowControl/>
              <w:jc w:val="center"/>
              <w:textAlignment w:val="center"/>
              <w:rPr>
                <w:rFonts w:ascii="仿宋_GB2312" w:hAnsi="仿宋_GB2312" w:eastAsia="仿宋_GB2312" w:cs="仿宋_GB2312"/>
                <w:b/>
                <w:bCs/>
                <w:color w:val="000000"/>
                <w:kern w:val="0"/>
                <w:sz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3号门花堆</w:t>
            </w:r>
          </w:p>
        </w:tc>
        <w:tc>
          <w:tcPr>
            <w:tcW w:w="727" w:type="dxa"/>
            <w:vMerge w:val="restart"/>
            <w:vAlign w:val="center"/>
          </w:tcPr>
          <w:p>
            <w:pPr>
              <w:pStyle w:val="2"/>
              <w:ind w:firstLine="0" w:firstLineChars="0"/>
              <w:jc w:val="center"/>
            </w:pPr>
            <w:r>
              <w:rPr>
                <w:rFonts w:hint="eastAsia"/>
              </w:rPr>
              <w:t>15</w:t>
            </w:r>
          </w:p>
        </w:tc>
        <w:tc>
          <w:tcPr>
            <w:tcW w:w="2296" w:type="dxa"/>
            <w:vMerge w:val="restart"/>
            <w:vAlign w:val="center"/>
          </w:tcPr>
          <w:p>
            <w:pPr>
              <w:widowControl/>
              <w:jc w:val="left"/>
              <w:textAlignment w:val="center"/>
              <w:rPr>
                <w:rFonts w:ascii="仿宋_GB2312" w:hAnsi="仿宋_GB2312" w:eastAsia="仿宋_GB2312" w:cs="仿宋_GB2312"/>
                <w:color w:val="000000"/>
                <w:kern w:val="0"/>
                <w:sz w:val="22"/>
                <w:lang w:bidi="ar"/>
              </w:rPr>
            </w:pPr>
            <w:r>
              <w:rPr>
                <w:rFonts w:ascii="仿宋_GB2312" w:hAnsi="仿宋_GB2312" w:eastAsia="仿宋_GB2312" w:cs="仿宋_GB2312"/>
                <w:color w:val="000000"/>
                <w:kern w:val="0"/>
                <w:sz w:val="22"/>
                <w:lang w:bidi="ar"/>
              </w:rPr>
              <w:t>绿植品种不少于6种，花卉品种不少于</w:t>
            </w:r>
            <w:r>
              <w:rPr>
                <w:rFonts w:hint="eastAsia" w:ascii="仿宋_GB2312" w:hAnsi="仿宋_GB2312" w:eastAsia="仿宋_GB2312" w:cs="仿宋_GB2312"/>
                <w:color w:val="000000"/>
                <w:kern w:val="0"/>
                <w:sz w:val="22"/>
                <w:lang w:bidi="ar"/>
              </w:rPr>
              <w:t>4</w:t>
            </w:r>
            <w:r>
              <w:rPr>
                <w:rFonts w:ascii="仿宋_GB2312" w:hAnsi="仿宋_GB2312" w:eastAsia="仿宋_GB2312" w:cs="仿宋_GB2312"/>
                <w:color w:val="000000"/>
                <w:kern w:val="0"/>
                <w:sz w:val="22"/>
                <w:lang w:bidi="ar"/>
              </w:rPr>
              <w:t>种（至少2种当季艳丽高档花卉），盆花总量不少于</w:t>
            </w:r>
            <w:r>
              <w:rPr>
                <w:rFonts w:hint="eastAsia" w:ascii="仿宋_GB2312" w:hAnsi="仿宋_GB2312" w:eastAsia="仿宋_GB2312" w:cs="仿宋_GB2312"/>
                <w:color w:val="000000"/>
                <w:kern w:val="0"/>
                <w:sz w:val="22"/>
                <w:lang w:bidi="ar"/>
              </w:rPr>
              <w:t>4</w:t>
            </w:r>
            <w:r>
              <w:rPr>
                <w:rFonts w:ascii="仿宋_GB2312" w:hAnsi="仿宋_GB2312" w:eastAsia="仿宋_GB2312" w:cs="仿宋_GB2312"/>
                <w:color w:val="000000"/>
                <w:kern w:val="0"/>
                <w:sz w:val="22"/>
                <w:lang w:bidi="ar"/>
              </w:rPr>
              <w:t>00盆且富有层次</w:t>
            </w:r>
            <w:r>
              <w:rPr>
                <w:rFonts w:hint="eastAsia" w:ascii="仿宋_GB2312" w:hAnsi="仿宋_GB2312" w:eastAsia="仿宋_GB2312" w:cs="仿宋_GB2312"/>
                <w:color w:val="000000"/>
                <w:kern w:val="0"/>
                <w:sz w:val="22"/>
                <w:lang w:bidi="ar"/>
              </w:rPr>
              <w:t>。</w:t>
            </w:r>
          </w:p>
          <w:p>
            <w:pPr>
              <w:widowControl/>
              <w:jc w:val="left"/>
              <w:textAlignment w:val="center"/>
              <w:rPr>
                <w:rFonts w:ascii="仿宋_GB2312" w:hAnsi="仿宋_GB2312" w:eastAsia="仿宋_GB2312" w:cs="仿宋_GB2312"/>
                <w:color w:val="000000"/>
                <w:kern w:val="0"/>
                <w:sz w:val="22"/>
                <w:lang w:bidi="ar"/>
              </w:rP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0" w:hRule="atLeast"/>
        </w:trPr>
        <w:tc>
          <w:tcPr>
            <w:tcW w:w="759" w:type="dxa"/>
            <w:vMerge w:val="continue"/>
            <w:vAlign w:val="center"/>
          </w:tcPr>
          <w:p>
            <w:pPr>
              <w:widowControl/>
              <w:jc w:val="center"/>
              <w:textAlignment w:val="center"/>
              <w:rPr>
                <w:rFonts w:ascii="仿宋_GB2312" w:hAnsi="仿宋_GB2312" w:eastAsia="仿宋_GB2312" w:cs="仿宋_GB2312"/>
                <w:b/>
                <w:bCs/>
                <w:color w:val="000000"/>
                <w:kern w:val="0"/>
                <w:sz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T1“文明圣地”花堆</w:t>
            </w:r>
          </w:p>
        </w:tc>
        <w:tc>
          <w:tcPr>
            <w:tcW w:w="727" w:type="dxa"/>
            <w:vMerge w:val="continue"/>
            <w:vAlign w:val="center"/>
          </w:tcPr>
          <w:p>
            <w:pPr>
              <w:pStyle w:val="2"/>
              <w:ind w:firstLine="0" w:firstLineChars="0"/>
              <w:jc w:val="center"/>
            </w:pPr>
          </w:p>
        </w:tc>
        <w:tc>
          <w:tcPr>
            <w:tcW w:w="2296" w:type="dxa"/>
            <w:vMerge w:val="continue"/>
            <w:vAlign w:val="center"/>
          </w:tcPr>
          <w:p>
            <w:pPr>
              <w:pStyle w:val="2"/>
              <w:ind w:firstLine="0" w:firstLineChars="0"/>
              <w:jc w:val="cente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5" w:hRule="atLeast"/>
        </w:trPr>
        <w:tc>
          <w:tcPr>
            <w:tcW w:w="759" w:type="dxa"/>
            <w:vMerge w:val="continue"/>
            <w:vAlign w:val="center"/>
          </w:tcPr>
          <w:p>
            <w:pPr>
              <w:widowControl/>
              <w:jc w:val="center"/>
              <w:textAlignment w:val="center"/>
              <w:rPr>
                <w:rFonts w:ascii="仿宋_GB2312" w:hAnsi="仿宋_GB2312" w:eastAsia="仿宋_GB2312" w:cs="仿宋_GB2312"/>
                <w:b/>
                <w:bCs/>
                <w:color w:val="000000"/>
                <w:kern w:val="0"/>
                <w:sz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7号门花堆</w:t>
            </w:r>
          </w:p>
        </w:tc>
        <w:tc>
          <w:tcPr>
            <w:tcW w:w="727" w:type="dxa"/>
            <w:vMerge w:val="continue"/>
            <w:vAlign w:val="center"/>
          </w:tcPr>
          <w:p>
            <w:pPr>
              <w:pStyle w:val="2"/>
              <w:ind w:firstLine="0" w:firstLineChars="0"/>
              <w:jc w:val="center"/>
            </w:pPr>
          </w:p>
        </w:tc>
        <w:tc>
          <w:tcPr>
            <w:tcW w:w="2296" w:type="dxa"/>
            <w:vMerge w:val="continue"/>
            <w:vAlign w:val="center"/>
          </w:tcPr>
          <w:p>
            <w:pPr>
              <w:pStyle w:val="2"/>
              <w:ind w:firstLine="0" w:firstLineChars="0"/>
              <w:jc w:val="cente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 w:hRule="atLeast"/>
        </w:trPr>
        <w:tc>
          <w:tcPr>
            <w:tcW w:w="759" w:type="dxa"/>
            <w:vMerge w:val="continue"/>
            <w:vAlign w:val="center"/>
          </w:tcPr>
          <w:p>
            <w:pPr>
              <w:widowControl/>
              <w:jc w:val="center"/>
              <w:textAlignment w:val="center"/>
              <w:rPr>
                <w:rFonts w:ascii="仿宋_GB2312" w:hAnsi="仿宋_GB2312" w:eastAsia="仿宋_GB2312" w:cs="仿宋_GB2312"/>
                <w:b/>
                <w:bCs/>
                <w:color w:val="000000"/>
                <w:kern w:val="0"/>
                <w:sz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G-H岛花堆</w:t>
            </w:r>
          </w:p>
        </w:tc>
        <w:tc>
          <w:tcPr>
            <w:tcW w:w="727" w:type="dxa"/>
            <w:vMerge w:val="continue"/>
            <w:vAlign w:val="center"/>
          </w:tcPr>
          <w:p>
            <w:pPr>
              <w:pStyle w:val="2"/>
              <w:ind w:firstLine="0" w:firstLineChars="0"/>
              <w:jc w:val="center"/>
            </w:pPr>
          </w:p>
        </w:tc>
        <w:tc>
          <w:tcPr>
            <w:tcW w:w="2296" w:type="dxa"/>
            <w:vMerge w:val="continue"/>
            <w:vAlign w:val="center"/>
          </w:tcPr>
          <w:p>
            <w:pPr>
              <w:pStyle w:val="2"/>
              <w:ind w:firstLine="0" w:firstLineChars="0"/>
              <w:jc w:val="cente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 w:hRule="atLeast"/>
        </w:trPr>
        <w:tc>
          <w:tcPr>
            <w:tcW w:w="759" w:type="dxa"/>
            <w:vMerge w:val="continue"/>
            <w:vAlign w:val="center"/>
          </w:tcPr>
          <w:p>
            <w:pPr>
              <w:widowControl/>
              <w:jc w:val="center"/>
              <w:textAlignment w:val="center"/>
              <w:rPr>
                <w:rFonts w:ascii="仿宋_GB2312" w:hAnsi="仿宋_GB2312" w:eastAsia="仿宋_GB2312" w:cs="仿宋_GB2312"/>
                <w:b/>
                <w:bCs/>
                <w:color w:val="000000"/>
                <w:kern w:val="0"/>
                <w:sz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9号门花堆</w:t>
            </w:r>
          </w:p>
        </w:tc>
        <w:tc>
          <w:tcPr>
            <w:tcW w:w="727" w:type="dxa"/>
            <w:vMerge w:val="continue"/>
            <w:vAlign w:val="center"/>
          </w:tcPr>
          <w:p>
            <w:pPr>
              <w:pStyle w:val="2"/>
              <w:ind w:firstLine="0" w:firstLineChars="0"/>
              <w:jc w:val="center"/>
            </w:pPr>
          </w:p>
        </w:tc>
        <w:tc>
          <w:tcPr>
            <w:tcW w:w="2296" w:type="dxa"/>
            <w:vMerge w:val="continue"/>
            <w:vAlign w:val="center"/>
          </w:tcPr>
          <w:p>
            <w:pPr>
              <w:pStyle w:val="2"/>
              <w:ind w:firstLine="0" w:firstLineChars="0"/>
              <w:jc w:val="cente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 w:hRule="atLeast"/>
        </w:trPr>
        <w:tc>
          <w:tcPr>
            <w:tcW w:w="759" w:type="dxa"/>
            <w:vMerge w:val="continue"/>
            <w:vAlign w:val="center"/>
          </w:tcPr>
          <w:p>
            <w:pPr>
              <w:widowControl/>
              <w:jc w:val="center"/>
              <w:textAlignment w:val="center"/>
              <w:rPr>
                <w:rFonts w:ascii="仿宋_GB2312" w:hAnsi="仿宋_GB2312" w:eastAsia="仿宋_GB2312" w:cs="仿宋_GB2312"/>
                <w:b/>
                <w:bCs/>
                <w:color w:val="000000"/>
                <w:kern w:val="0"/>
                <w:sz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12号门花堆</w:t>
            </w:r>
          </w:p>
        </w:tc>
        <w:tc>
          <w:tcPr>
            <w:tcW w:w="727" w:type="dxa"/>
            <w:vMerge w:val="continue"/>
            <w:vAlign w:val="center"/>
          </w:tcPr>
          <w:p>
            <w:pPr>
              <w:pStyle w:val="2"/>
              <w:ind w:firstLine="0" w:firstLineChars="0"/>
              <w:jc w:val="center"/>
            </w:pPr>
          </w:p>
        </w:tc>
        <w:tc>
          <w:tcPr>
            <w:tcW w:w="2296" w:type="dxa"/>
            <w:vMerge w:val="continue"/>
            <w:vAlign w:val="center"/>
          </w:tcPr>
          <w:p>
            <w:pPr>
              <w:pStyle w:val="2"/>
              <w:ind w:firstLine="0" w:firstLineChars="0"/>
              <w:jc w:val="cente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6" w:hRule="atLeast"/>
        </w:trPr>
        <w:tc>
          <w:tcPr>
            <w:tcW w:w="759" w:type="dxa"/>
            <w:vMerge w:val="continue"/>
            <w:vAlign w:val="center"/>
          </w:tcPr>
          <w:p>
            <w:pPr>
              <w:widowControl/>
              <w:jc w:val="center"/>
              <w:textAlignment w:val="center"/>
              <w:rPr>
                <w:rFonts w:ascii="仿宋_GB2312" w:hAnsi="仿宋_GB2312" w:eastAsia="仿宋_GB2312" w:cs="仿宋_GB2312"/>
                <w:b/>
                <w:bCs/>
                <w:color w:val="000000"/>
                <w:kern w:val="0"/>
                <w:sz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T3隔离区圈椅花堆</w:t>
            </w:r>
          </w:p>
        </w:tc>
        <w:tc>
          <w:tcPr>
            <w:tcW w:w="727" w:type="dxa"/>
            <w:vMerge w:val="continue"/>
            <w:vAlign w:val="center"/>
          </w:tcPr>
          <w:p>
            <w:pPr>
              <w:pStyle w:val="2"/>
              <w:ind w:firstLine="0" w:firstLineChars="0"/>
              <w:jc w:val="center"/>
            </w:pPr>
          </w:p>
        </w:tc>
        <w:tc>
          <w:tcPr>
            <w:tcW w:w="2296" w:type="dxa"/>
            <w:vMerge w:val="continue"/>
            <w:vAlign w:val="center"/>
          </w:tcPr>
          <w:p>
            <w:pPr>
              <w:pStyle w:val="2"/>
              <w:ind w:firstLine="0" w:firstLineChars="0"/>
              <w:jc w:val="cente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2" w:hRule="atLeast"/>
        </w:trPr>
        <w:tc>
          <w:tcPr>
            <w:tcW w:w="759" w:type="dxa"/>
            <w:vMerge w:val="continue"/>
            <w:vAlign w:val="center"/>
          </w:tcPr>
          <w:p>
            <w:pPr>
              <w:widowControl/>
              <w:jc w:val="center"/>
              <w:textAlignment w:val="center"/>
              <w:rPr>
                <w:rFonts w:ascii="仿宋_GB2312" w:hAnsi="仿宋_GB2312" w:eastAsia="仿宋_GB2312" w:cs="仿宋_GB2312"/>
                <w:b/>
                <w:bCs/>
                <w:color w:val="000000"/>
                <w:kern w:val="0"/>
                <w:sz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T3到达北指廊花堆</w:t>
            </w:r>
          </w:p>
        </w:tc>
        <w:tc>
          <w:tcPr>
            <w:tcW w:w="727" w:type="dxa"/>
            <w:vMerge w:val="continue"/>
            <w:vAlign w:val="center"/>
          </w:tcPr>
          <w:p>
            <w:pPr>
              <w:pStyle w:val="2"/>
              <w:ind w:firstLine="0" w:firstLineChars="0"/>
              <w:jc w:val="center"/>
            </w:pPr>
          </w:p>
        </w:tc>
        <w:tc>
          <w:tcPr>
            <w:tcW w:w="2296" w:type="dxa"/>
            <w:vMerge w:val="continue"/>
            <w:vAlign w:val="center"/>
          </w:tcPr>
          <w:p>
            <w:pPr>
              <w:pStyle w:val="2"/>
              <w:ind w:firstLine="0" w:firstLineChars="0"/>
              <w:jc w:val="cente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bl>
    <w:p>
      <w:pPr>
        <w:pStyle w:val="2"/>
        <w:ind w:firstLine="210"/>
      </w:pPr>
    </w:p>
    <w:p>
      <w:pPr>
        <w:spacing w:line="360" w:lineRule="auto"/>
        <w:ind w:firstLine="480" w:firstLineChars="200"/>
        <w:rPr>
          <w:rFonts w:ascii="仿宋_GB2312" w:eastAsia="仿宋_GB2312"/>
          <w:sz w:val="24"/>
          <w:szCs w:val="24"/>
        </w:rPr>
      </w:pPr>
      <w:r>
        <w:rPr>
          <w:rFonts w:hint="eastAsia" w:ascii="仿宋_GB2312" w:eastAsia="仿宋_GB2312"/>
          <w:sz w:val="24"/>
          <w:szCs w:val="24"/>
        </w:rPr>
        <w:t>T3到达夹层花堆每年一主题进行花堆布置，硬质景观摆放一年，花堆中的硬质景观总体大小落地面积不小于2平米，平均高度不小于1.5米。</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花堆设计方案需与航站楼整体风格保持一致，整个花堆在设计理念上要融入新颖、时尚的现代元素，体现杭州悠久的历史文化。</w:t>
      </w:r>
    </w:p>
    <w:p>
      <w:pPr>
        <w:spacing w:line="360" w:lineRule="auto"/>
        <w:ind w:firstLine="482" w:firstLineChars="200"/>
        <w:rPr>
          <w:rFonts w:ascii="仿宋_GB2312" w:eastAsia="仿宋_GB2312"/>
          <w:b/>
          <w:bCs/>
          <w:sz w:val="24"/>
          <w:szCs w:val="24"/>
        </w:rPr>
      </w:pPr>
      <w:r>
        <w:rPr>
          <w:rFonts w:hint="eastAsia" w:ascii="仿宋_GB2312" w:eastAsia="仿宋_GB2312"/>
          <w:b/>
          <w:bCs/>
          <w:sz w:val="24"/>
          <w:szCs w:val="24"/>
        </w:rPr>
        <w:t>（3）T1航站楼内庭院养护</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主要养护工作包含：水池清洗、设备保养、杀菌灯、景观灯、木平台及木桥油漆、天桥油漆、投入肥料、环保型杀虫剂、垃圾清运、换苗、补苗、植物养护、鱼和鱼食、休息室维保（具体养护要求见附件2）。</w:t>
      </w:r>
    </w:p>
    <w:p>
      <w:pPr>
        <w:spacing w:line="360" w:lineRule="auto"/>
        <w:ind w:firstLine="482" w:firstLineChars="200"/>
        <w:rPr>
          <w:rFonts w:ascii="仿宋_GB2312" w:eastAsia="仿宋_GB2312"/>
          <w:sz w:val="24"/>
          <w:szCs w:val="24"/>
        </w:rPr>
      </w:pPr>
      <w:r>
        <w:rPr>
          <w:rFonts w:hint="eastAsia" w:ascii="仿宋_GB2312" w:eastAsia="仿宋_GB2312"/>
          <w:b/>
          <w:bCs/>
          <w:sz w:val="24"/>
          <w:szCs w:val="24"/>
        </w:rPr>
        <w:t>（4）其他</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航站楼内机场公司重大活动(每年不少于2次)绿化布置。</w:t>
      </w:r>
    </w:p>
    <w:p>
      <w:pPr>
        <w:spacing w:line="360" w:lineRule="auto"/>
        <w:rPr>
          <w:rFonts w:ascii="仿宋_GB2312" w:eastAsia="仿宋_GB2312" w:hAnsiTheme="minorHAnsi"/>
          <w:b/>
          <w:bCs/>
          <w:sz w:val="24"/>
          <w:szCs w:val="24"/>
        </w:rPr>
      </w:pPr>
    </w:p>
    <w:p>
      <w:pPr>
        <w:spacing w:line="360" w:lineRule="auto"/>
        <w:rPr>
          <w:rFonts w:ascii="仿宋_GB2312" w:eastAsia="仿宋_GB2312" w:hAnsiTheme="minorHAnsi"/>
          <w:b/>
          <w:sz w:val="24"/>
          <w:szCs w:val="24"/>
        </w:rPr>
      </w:pPr>
      <w:r>
        <w:rPr>
          <w:rFonts w:hint="eastAsia" w:ascii="仿宋_GB2312" w:eastAsia="仿宋_GB2312" w:hAnsiTheme="minorHAnsi"/>
          <w:b/>
          <w:sz w:val="24"/>
          <w:szCs w:val="24"/>
        </w:rPr>
        <w:t>第二条</w:t>
      </w:r>
      <w:r>
        <w:rPr>
          <w:rFonts w:hint="eastAsia" w:ascii="仿宋_GB2312" w:eastAsia="仿宋_GB2312"/>
          <w:b/>
          <w:sz w:val="24"/>
          <w:szCs w:val="24"/>
        </w:rPr>
        <w:t xml:space="preserve"> </w:t>
      </w:r>
      <w:r>
        <w:rPr>
          <w:rFonts w:hint="eastAsia" w:ascii="仿宋_GB2312" w:eastAsia="仿宋_GB2312" w:hAnsiTheme="minorHAnsi"/>
          <w:b/>
          <w:sz w:val="24"/>
          <w:szCs w:val="24"/>
        </w:rPr>
        <w:t>承包期限</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本合同期限为20</w:t>
      </w:r>
      <w:r>
        <w:rPr>
          <w:rFonts w:hint="eastAsia" w:ascii="仿宋_GB2312" w:eastAsia="仿宋_GB2312"/>
          <w:sz w:val="24"/>
          <w:szCs w:val="24"/>
        </w:rPr>
        <w:t>20</w:t>
      </w:r>
      <w:r>
        <w:rPr>
          <w:rFonts w:hint="eastAsia" w:ascii="仿宋_GB2312" w:eastAsia="仿宋_GB2312" w:hAnsiTheme="minorHAnsi"/>
          <w:sz w:val="24"/>
          <w:szCs w:val="24"/>
        </w:rPr>
        <w:t>年</w:t>
      </w:r>
      <w:r>
        <w:rPr>
          <w:rFonts w:hint="eastAsia" w:ascii="仿宋_GB2312" w:eastAsia="仿宋_GB2312"/>
          <w:sz w:val="24"/>
          <w:szCs w:val="24"/>
        </w:rPr>
        <w:t>5</w:t>
      </w:r>
      <w:r>
        <w:rPr>
          <w:rFonts w:hint="eastAsia" w:ascii="仿宋_GB2312" w:eastAsia="仿宋_GB2312" w:hAnsiTheme="minorHAnsi"/>
          <w:sz w:val="24"/>
          <w:szCs w:val="24"/>
        </w:rPr>
        <w:t>月</w:t>
      </w:r>
      <w:r>
        <w:rPr>
          <w:rFonts w:hint="eastAsia" w:ascii="仿宋_GB2312" w:eastAsia="仿宋_GB2312"/>
          <w:sz w:val="24"/>
          <w:szCs w:val="24"/>
        </w:rPr>
        <w:t>1</w:t>
      </w:r>
      <w:r>
        <w:rPr>
          <w:rFonts w:hint="eastAsia" w:ascii="仿宋_GB2312" w:eastAsia="仿宋_GB2312" w:hAnsiTheme="minorHAnsi"/>
          <w:sz w:val="24"/>
          <w:szCs w:val="24"/>
        </w:rPr>
        <w:t>日至20</w:t>
      </w:r>
      <w:r>
        <w:rPr>
          <w:rFonts w:hint="eastAsia" w:ascii="仿宋_GB2312" w:eastAsia="仿宋_GB2312"/>
          <w:sz w:val="24"/>
          <w:szCs w:val="24"/>
        </w:rPr>
        <w:t>21</w:t>
      </w:r>
      <w:r>
        <w:rPr>
          <w:rFonts w:hint="eastAsia" w:ascii="仿宋_GB2312" w:eastAsia="仿宋_GB2312" w:hAnsiTheme="minorHAnsi"/>
          <w:sz w:val="24"/>
          <w:szCs w:val="24"/>
        </w:rPr>
        <w:t>年</w:t>
      </w:r>
      <w:r>
        <w:rPr>
          <w:rFonts w:hint="eastAsia" w:ascii="仿宋_GB2312" w:eastAsia="仿宋_GB2312"/>
          <w:sz w:val="24"/>
          <w:szCs w:val="24"/>
        </w:rPr>
        <w:t>4</w:t>
      </w:r>
      <w:r>
        <w:rPr>
          <w:rFonts w:hint="eastAsia" w:ascii="仿宋_GB2312" w:eastAsia="仿宋_GB2312" w:hAnsiTheme="minorHAnsi"/>
          <w:sz w:val="24"/>
          <w:szCs w:val="24"/>
        </w:rPr>
        <w:t>月</w:t>
      </w:r>
      <w:r>
        <w:rPr>
          <w:rFonts w:hint="eastAsia" w:ascii="仿宋_GB2312" w:eastAsia="仿宋_GB2312"/>
          <w:sz w:val="24"/>
          <w:szCs w:val="24"/>
        </w:rPr>
        <w:t>30</w:t>
      </w:r>
      <w:r>
        <w:rPr>
          <w:rFonts w:hint="eastAsia" w:ascii="仿宋_GB2312" w:eastAsia="仿宋_GB2312" w:hAnsiTheme="minorHAnsi"/>
          <w:sz w:val="24"/>
          <w:szCs w:val="24"/>
        </w:rPr>
        <w:t>日。其中T3到达夹层花堆从2020年6月1日开始至2021 年4月30日结束。</w:t>
      </w:r>
    </w:p>
    <w:p>
      <w:pPr>
        <w:spacing w:line="360" w:lineRule="auto"/>
        <w:ind w:firstLine="480" w:firstLineChars="200"/>
        <w:rPr>
          <w:rFonts w:ascii="仿宋_GB2312" w:eastAsia="仿宋_GB2312" w:hAnsiTheme="minorHAnsi"/>
          <w:sz w:val="24"/>
          <w:szCs w:val="24"/>
        </w:rPr>
      </w:pPr>
      <w:r>
        <w:rPr>
          <w:rFonts w:ascii="仿宋_GB2312" w:eastAsia="仿宋_GB2312" w:hAnsiTheme="minorHAnsi"/>
          <w:sz w:val="24"/>
          <w:szCs w:val="24"/>
        </w:rPr>
        <w:t>若乙方在考核期内，出现下列情况之一的，甲方有权提前终止合</w:t>
      </w:r>
      <w:r>
        <w:rPr>
          <w:rFonts w:hint="eastAsia" w:ascii="仿宋_GB2312" w:eastAsia="仿宋_GB2312" w:hAnsiTheme="minorHAnsi"/>
          <w:sz w:val="24"/>
          <w:szCs w:val="24"/>
        </w:rPr>
        <w:t>同</w:t>
      </w:r>
      <w:r>
        <w:rPr>
          <w:rFonts w:ascii="仿宋_GB2312" w:eastAsia="仿宋_GB2312" w:hAnsiTheme="minorHAnsi"/>
          <w:sz w:val="24"/>
          <w:szCs w:val="24"/>
        </w:rPr>
        <w:t>，并要求乙方承担由此给甲方造成的实际损失:</w:t>
      </w:r>
    </w:p>
    <w:p>
      <w:pPr>
        <w:spacing w:line="360" w:lineRule="auto"/>
        <w:ind w:firstLine="480" w:firstLineChars="200"/>
        <w:rPr>
          <w:rFonts w:ascii="仿宋_GB2312" w:eastAsia="仿宋_GB2312" w:hAnsiTheme="minorHAnsi"/>
          <w:sz w:val="24"/>
          <w:szCs w:val="24"/>
        </w:rPr>
      </w:pPr>
      <w:r>
        <w:rPr>
          <w:rFonts w:ascii="仿宋_GB2312" w:eastAsia="仿宋_GB2312" w:hAnsiTheme="minorHAnsi"/>
          <w:sz w:val="24"/>
          <w:szCs w:val="24"/>
        </w:rPr>
        <w:t>1.在本合同有效期限内如连续两个月度考核得分低于85 分（包含 85 分）或共计有三个的月度考核得分低于 85 分（包含 85 分）。</w:t>
      </w:r>
    </w:p>
    <w:p>
      <w:pPr>
        <w:spacing w:line="360" w:lineRule="auto"/>
        <w:ind w:firstLine="480" w:firstLineChars="200"/>
        <w:rPr>
          <w:rFonts w:ascii="仿宋_GB2312" w:eastAsia="仿宋_GB2312" w:hAnsiTheme="minorHAnsi"/>
          <w:sz w:val="24"/>
          <w:szCs w:val="24"/>
        </w:rPr>
      </w:pPr>
      <w:r>
        <w:rPr>
          <w:rFonts w:ascii="仿宋_GB2312" w:eastAsia="仿宋_GB2312" w:hAnsiTheme="minorHAnsi"/>
          <w:sz w:val="24"/>
          <w:szCs w:val="24"/>
        </w:rPr>
        <w:t>2.发生因乙方责任原因造成的各类治安群体性事件、空防不安全事件、消防及其他不安全事件，事故症候，事故和严重影响航班正常性造成航班业务等情况的，或出现三次以上不服从甲方管理,实行一票否决。</w:t>
      </w:r>
    </w:p>
    <w:p>
      <w:pPr>
        <w:spacing w:line="360" w:lineRule="auto"/>
        <w:rPr>
          <w:rFonts w:ascii="仿宋_GB2312" w:eastAsia="仿宋_GB2312"/>
          <w:b/>
          <w:bCs/>
          <w:sz w:val="24"/>
          <w:szCs w:val="24"/>
        </w:rPr>
      </w:pPr>
    </w:p>
    <w:p>
      <w:pPr>
        <w:spacing w:line="360" w:lineRule="auto"/>
        <w:rPr>
          <w:rFonts w:ascii="仿宋_GB2312" w:eastAsia="仿宋_GB2312"/>
          <w:b/>
          <w:sz w:val="24"/>
          <w:szCs w:val="24"/>
        </w:rPr>
      </w:pPr>
      <w:r>
        <w:rPr>
          <w:rFonts w:hint="eastAsia" w:ascii="仿宋_GB2312" w:eastAsia="仿宋_GB2312"/>
          <w:b/>
          <w:sz w:val="24"/>
          <w:szCs w:val="24"/>
        </w:rPr>
        <w:t xml:space="preserve">第三条 </w:t>
      </w:r>
      <w:r>
        <w:rPr>
          <w:rFonts w:hint="eastAsia" w:ascii="仿宋_GB2312" w:eastAsia="仿宋_GB2312"/>
          <w:b/>
          <w:sz w:val="24"/>
          <w:szCs w:val="24"/>
        </w:rPr>
        <w:tab/>
      </w:r>
      <w:r>
        <w:rPr>
          <w:rFonts w:hint="eastAsia" w:ascii="仿宋_GB2312" w:eastAsia="仿宋_GB2312"/>
          <w:b/>
          <w:sz w:val="24"/>
          <w:szCs w:val="24"/>
        </w:rPr>
        <w:t>合同费用</w:t>
      </w:r>
    </w:p>
    <w:p>
      <w:pPr>
        <w:spacing w:line="360" w:lineRule="auto"/>
        <w:ind w:firstLine="480" w:firstLineChars="200"/>
        <w:rPr>
          <w:rFonts w:ascii="Times New Roman"/>
          <w:sz w:val="20"/>
          <w:szCs w:val="24"/>
        </w:rPr>
      </w:pPr>
      <w:r>
        <w:rPr>
          <w:rFonts w:hint="eastAsia" w:ascii="仿宋_GB2312" w:eastAsia="仿宋_GB2312"/>
          <w:sz w:val="24"/>
          <w:szCs w:val="24"/>
        </w:rPr>
        <w:t>1.甲方承诺乙方按时完成本合同规定的义务而向其支付合同费用，该费用已包括通过全部政府有关部门、甲方在内的各项验收及正常使用所需的一切绿植、花卉、花器、花架、设备（含抗台支撑）、设施维护、人力、补植费、巡视、施肥、农药、绿植、花卉、花器、花架、设备（含抗台支撑）、设施维护、人工、补植费、巡视、施肥、农药、航站楼花堆布置、航站楼内机场公司重大活动绿化景观小品布置、航站楼区域盆花租摆及花堆设计、硬质景观造型设计制作、损耗、包装、运输、维修、税费、保险、利润以及履行完毕合同约定的义务，不可或缺的所有附带工作，以及应急事件处理费等。</w:t>
      </w:r>
    </w:p>
    <w:p>
      <w:pPr>
        <w:spacing w:line="360" w:lineRule="auto"/>
        <w:ind w:firstLine="480"/>
        <w:rPr>
          <w:rFonts w:ascii="仿宋_GB2312" w:eastAsia="仿宋_GB2312"/>
          <w:sz w:val="24"/>
          <w:szCs w:val="24"/>
        </w:rPr>
      </w:pPr>
      <w:r>
        <w:rPr>
          <w:rFonts w:hint="eastAsia" w:ascii="仿宋_GB2312" w:eastAsia="仿宋_GB2312"/>
          <w:sz w:val="24"/>
          <w:szCs w:val="24"/>
        </w:rPr>
        <w:t>2.合同费用：本项目合同总价为人民币 元整，小写： 元（税率为 ，其中不含税金额为人民币 ，小写：元 ）。 本合同在执行过程中，以上合同总价除甲方提出变更承包范围外，不因人工、物价或汇率等任何因素的变动而调整。</w:t>
      </w:r>
    </w:p>
    <w:p>
      <w:pPr>
        <w:spacing w:line="360" w:lineRule="auto"/>
        <w:ind w:firstLine="480"/>
        <w:rPr>
          <w:rFonts w:ascii="仿宋_GB2312" w:eastAsia="仿宋_GB2312"/>
          <w:sz w:val="24"/>
          <w:szCs w:val="24"/>
        </w:rPr>
      </w:pPr>
      <w:r>
        <w:rPr>
          <w:rFonts w:hint="eastAsia" w:ascii="仿宋_GB2312" w:eastAsia="仿宋_GB2312"/>
          <w:sz w:val="24"/>
          <w:szCs w:val="24"/>
        </w:rPr>
        <w:t xml:space="preserve"> 在合同有效期限内，若因国家税收政策调整而引起的增值税税率变化的，应按照国家税收政策调整，合同总金额变更为原合同不含增值税货物或劳务价格与调整后税率计算税额的合计金额。</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3.乙方需依法用工，必须缴纳员工工资组成中的社会保险（如养老、医疗、工伤等险种）等相关费用，甲方将进行抽查，发现乙方未给员工缴纳保险，甲方发现一次扣除履约保证金1000元。</w:t>
      </w:r>
    </w:p>
    <w:p>
      <w:pPr>
        <w:spacing w:line="360" w:lineRule="auto"/>
        <w:rPr>
          <w:rFonts w:ascii="仿宋_GB2312" w:eastAsia="仿宋_GB2312"/>
          <w:b/>
          <w:bCs/>
          <w:sz w:val="24"/>
          <w:szCs w:val="24"/>
        </w:rPr>
      </w:pPr>
    </w:p>
    <w:p>
      <w:pPr>
        <w:spacing w:line="360" w:lineRule="auto"/>
        <w:rPr>
          <w:rFonts w:ascii="仿宋_GB2312" w:eastAsia="仿宋_GB2312"/>
          <w:b/>
          <w:sz w:val="24"/>
          <w:szCs w:val="24"/>
        </w:rPr>
      </w:pPr>
      <w:r>
        <w:rPr>
          <w:rFonts w:hint="eastAsia" w:ascii="仿宋_GB2312" w:eastAsia="仿宋_GB2312"/>
          <w:b/>
          <w:sz w:val="24"/>
          <w:szCs w:val="24"/>
        </w:rPr>
        <w:t>第四条 作业人员</w:t>
      </w:r>
    </w:p>
    <w:p>
      <w:pPr>
        <w:spacing w:line="360" w:lineRule="auto"/>
        <w:ind w:firstLine="480" w:firstLineChars="200"/>
        <w:rPr>
          <w:rFonts w:ascii="仿宋_GB2312" w:eastAsia="仿宋_GB2312"/>
          <w:sz w:val="24"/>
          <w:szCs w:val="24"/>
        </w:rPr>
      </w:pPr>
      <w:r>
        <w:rPr>
          <w:rFonts w:ascii="仿宋_GB2312" w:eastAsia="仿宋_GB2312"/>
          <w:sz w:val="24"/>
          <w:szCs w:val="24"/>
        </w:rPr>
        <w:t>乙方作业人员名单（书面）应在合同签订之日起3日内向甲方备案。对于乙方的植保员、园林绿化修剪技工（中、高级技工）都应持证上岗。若乙方需要变更上述人员，需在变更之日前7日通知甲方，将新的人员名单书面报甲方备案。</w:t>
      </w:r>
    </w:p>
    <w:p>
      <w:pPr>
        <w:spacing w:line="360" w:lineRule="auto"/>
        <w:jc w:val="center"/>
        <w:rPr>
          <w:rFonts w:ascii="仿宋_GB2312" w:eastAsia="仿宋_GB2312"/>
          <w:sz w:val="24"/>
          <w:szCs w:val="24"/>
        </w:rPr>
      </w:pPr>
      <w:r>
        <w:rPr>
          <w:rFonts w:ascii="仿宋_GB2312" w:eastAsia="仿宋_GB2312"/>
          <w:sz w:val="24"/>
          <w:szCs w:val="24"/>
        </w:rPr>
        <w:t>乙方项目人员组成情况及主要工作内容</w:t>
      </w:r>
      <w:r>
        <w:rPr>
          <w:rFonts w:hint="eastAsia" w:ascii="仿宋_GB2312" w:eastAsia="仿宋_GB2312"/>
          <w:sz w:val="24"/>
          <w:szCs w:val="24"/>
        </w:rPr>
        <w:t>表（根据中标文件补充）</w:t>
      </w:r>
    </w:p>
    <w:p>
      <w:pPr>
        <w:widowControl/>
        <w:spacing w:line="360" w:lineRule="auto"/>
        <w:ind w:firstLine="480" w:firstLineChars="200"/>
        <w:rPr>
          <w:rFonts w:ascii="仿宋_GB2312" w:eastAsia="仿宋_GB2312" w:cstheme="minorBidi"/>
          <w:sz w:val="24"/>
          <w:szCs w:val="24"/>
        </w:rPr>
      </w:pPr>
    </w:p>
    <w:p>
      <w:pPr>
        <w:widowControl/>
        <w:spacing w:line="360" w:lineRule="auto"/>
        <w:ind w:firstLine="480" w:firstLineChars="200"/>
        <w:rPr>
          <w:rFonts w:ascii="仿宋_GB2312" w:eastAsia="仿宋_GB2312" w:hAnsiTheme="minorHAnsi" w:cstheme="minorBidi"/>
          <w:sz w:val="24"/>
          <w:szCs w:val="24"/>
        </w:rPr>
      </w:pPr>
      <w:r>
        <w:rPr>
          <w:rFonts w:hint="eastAsia" w:ascii="仿宋_GB2312" w:eastAsia="仿宋_GB2312" w:cstheme="minorBidi"/>
          <w:sz w:val="24"/>
          <w:szCs w:val="24"/>
        </w:rPr>
        <w:t>1.</w:t>
      </w:r>
      <w:r>
        <w:rPr>
          <w:rFonts w:hint="eastAsia" w:ascii="仿宋_GB2312" w:eastAsia="仿宋_GB2312" w:hAnsiTheme="minorHAnsi" w:cstheme="minorBidi"/>
          <w:sz w:val="24"/>
          <w:szCs w:val="24"/>
        </w:rPr>
        <w:t>现场管理人员要求</w:t>
      </w:r>
    </w:p>
    <w:p>
      <w:pPr>
        <w:widowControl/>
        <w:spacing w:line="360" w:lineRule="auto"/>
        <w:ind w:firstLine="480" w:firstLineChars="200"/>
        <w:rPr>
          <w:rFonts w:ascii="仿宋_GB2312" w:eastAsia="仿宋_GB2312" w:hAnsiTheme="minorHAnsi" w:cstheme="minorBidi"/>
          <w:sz w:val="24"/>
          <w:szCs w:val="24"/>
        </w:rPr>
      </w:pPr>
      <w:r>
        <w:rPr>
          <w:rFonts w:hint="eastAsia" w:ascii="仿宋_GB2312" w:eastAsia="仿宋_GB2312" w:hAnsiTheme="minorHAnsi" w:cstheme="minorBidi"/>
          <w:sz w:val="24"/>
          <w:szCs w:val="24"/>
        </w:rPr>
        <w:t>（1）乙方项目管理班子必须按招标文件要求配备项目经理、项目技术负责人、盆花摆放管理人员不少于【】人（包括分管负责人、技术员、植保员、质量员、安全员、仓库管理员等）等。所有管理人员必须经公安机关出具无犯罪记录证明。</w:t>
      </w:r>
    </w:p>
    <w:p>
      <w:pPr>
        <w:widowControl/>
        <w:spacing w:line="360" w:lineRule="auto"/>
        <w:ind w:firstLine="480" w:firstLineChars="200"/>
        <w:rPr>
          <w:rFonts w:ascii="仿宋_GB2312" w:eastAsia="仿宋_GB2312" w:hAnsiTheme="minorHAnsi" w:cstheme="minorBidi"/>
          <w:sz w:val="24"/>
          <w:szCs w:val="24"/>
        </w:rPr>
      </w:pPr>
      <w:r>
        <w:rPr>
          <w:rFonts w:hint="eastAsia" w:ascii="仿宋_GB2312" w:eastAsia="仿宋_GB2312" w:hAnsiTheme="minorHAnsi" w:cstheme="minorBidi"/>
          <w:sz w:val="24"/>
          <w:szCs w:val="24"/>
        </w:rPr>
        <w:t>（2）项目管理班子必须按本合同要求到岗，项目管理班子每周到岗不少于5天，每天不少于8个小时。项目经理不得有其它在实施项目。招标人每月进行不定期抽查，发现每少一名管理人员，在当月租摆费用中扣除5000元。</w:t>
      </w:r>
    </w:p>
    <w:p>
      <w:pPr>
        <w:widowControl/>
        <w:spacing w:line="360" w:lineRule="auto"/>
        <w:ind w:firstLine="480" w:firstLineChars="200"/>
        <w:rPr>
          <w:rFonts w:ascii="仿宋_GB2312" w:eastAsia="仿宋_GB2312" w:hAnsiTheme="minorHAnsi" w:cstheme="minorBidi"/>
          <w:sz w:val="24"/>
          <w:szCs w:val="24"/>
        </w:rPr>
      </w:pPr>
      <w:r>
        <w:rPr>
          <w:rFonts w:hint="eastAsia" w:ascii="仿宋_GB2312" w:eastAsia="仿宋_GB2312" w:cstheme="minorBidi"/>
          <w:sz w:val="24"/>
          <w:szCs w:val="24"/>
        </w:rPr>
        <w:t>2.</w:t>
      </w:r>
      <w:r>
        <w:rPr>
          <w:rFonts w:hint="eastAsia" w:ascii="仿宋_GB2312" w:eastAsia="仿宋_GB2312" w:hAnsiTheme="minorHAnsi" w:cstheme="minorBidi"/>
          <w:sz w:val="24"/>
          <w:szCs w:val="24"/>
        </w:rPr>
        <w:t>乙方现场工人要求</w:t>
      </w:r>
    </w:p>
    <w:p>
      <w:pPr>
        <w:widowControl/>
        <w:spacing w:line="360" w:lineRule="auto"/>
        <w:ind w:firstLine="480" w:firstLineChars="200"/>
        <w:rPr>
          <w:rFonts w:ascii="仿宋_GB2312" w:eastAsia="仿宋_GB2312" w:hAnsiTheme="minorHAnsi" w:cstheme="minorBidi"/>
          <w:sz w:val="24"/>
          <w:szCs w:val="24"/>
        </w:rPr>
      </w:pPr>
      <w:r>
        <w:rPr>
          <w:rFonts w:hint="eastAsia" w:ascii="仿宋_GB2312" w:eastAsia="仿宋_GB2312" w:hAnsiTheme="minorHAnsi" w:cstheme="minorBidi"/>
          <w:sz w:val="24"/>
          <w:szCs w:val="24"/>
        </w:rPr>
        <w:t>（1）为确保</w:t>
      </w:r>
      <w:r>
        <w:rPr>
          <w:rFonts w:hint="eastAsia" w:ascii="仿宋_GB2312" w:eastAsia="仿宋_GB2312"/>
          <w:sz w:val="24"/>
          <w:szCs w:val="24"/>
        </w:rPr>
        <w:t>航站楼环境景观绿化综合项目</w:t>
      </w:r>
      <w:r>
        <w:rPr>
          <w:rFonts w:hint="eastAsia" w:ascii="仿宋_GB2312" w:eastAsia="仿宋_GB2312" w:hAnsiTheme="minorHAnsi" w:cstheme="minorBidi"/>
          <w:sz w:val="24"/>
          <w:szCs w:val="24"/>
        </w:rPr>
        <w:t>的质量和进度，要求男性摆放作业工人年龄在60周岁以内、女性摆放作业工人年龄在50周岁以内，女性用工人数不得超过总用工人数的30%。承包单位必须与所有工人签订正式劳动合同，并缴纳相应保险，所有工人必须经公安机关认定无犯罪记录。</w:t>
      </w:r>
    </w:p>
    <w:p>
      <w:pPr>
        <w:widowControl/>
        <w:spacing w:line="360" w:lineRule="auto"/>
        <w:ind w:firstLine="480" w:firstLineChars="200"/>
        <w:rPr>
          <w:rFonts w:ascii="仿宋_GB2312" w:eastAsia="仿宋_GB2312" w:hAnsiTheme="minorHAnsi" w:cstheme="minorBidi"/>
          <w:sz w:val="24"/>
          <w:szCs w:val="24"/>
        </w:rPr>
      </w:pPr>
      <w:r>
        <w:rPr>
          <w:rFonts w:hint="eastAsia" w:ascii="仿宋_GB2312" w:eastAsia="仿宋_GB2312" w:hAnsiTheme="minorHAnsi" w:cstheme="minorBidi"/>
          <w:sz w:val="24"/>
          <w:szCs w:val="24"/>
        </w:rPr>
        <w:t>（2）</w:t>
      </w:r>
      <w:r>
        <w:rPr>
          <w:rFonts w:hint="eastAsia" w:ascii="仿宋_GB2312" w:eastAsia="仿宋_GB2312"/>
          <w:sz w:val="24"/>
          <w:szCs w:val="24"/>
        </w:rPr>
        <w:t>航站楼环境景观绿化综合项目</w:t>
      </w:r>
      <w:r>
        <w:rPr>
          <w:rFonts w:hint="eastAsia" w:ascii="仿宋_GB2312" w:eastAsia="仿宋_GB2312" w:hAnsiTheme="minorHAnsi" w:cstheme="minorBidi"/>
          <w:sz w:val="24"/>
          <w:szCs w:val="24"/>
        </w:rPr>
        <w:t>规定乙方到岗作业的摆放作业工人总人数不得少于【】人，每天到岗作业的摆放作业工人人数不得少于【】人，月用工总数不得少于【】工日，年用工总数不得少于【】工日。如遇节假日或雨雪天气不能到岗，必须经甲方同意。甲方每月进行不定期抽查，发现每少一名摆放作业工人，在当月租摆费用中扣除3500元。</w:t>
      </w:r>
      <w:r>
        <w:rPr>
          <w:rFonts w:hint="eastAsia" w:ascii="仿宋_GB2312" w:eastAsia="仿宋_GB2312"/>
          <w:sz w:val="24"/>
          <w:szCs w:val="24"/>
        </w:rPr>
        <w:t>航站楼环境景观绿化综合项目</w:t>
      </w:r>
      <w:r>
        <w:rPr>
          <w:rFonts w:hint="eastAsia" w:ascii="仿宋_GB2312" w:eastAsia="仿宋_GB2312" w:hAnsiTheme="minorHAnsi" w:cstheme="minorBidi"/>
          <w:sz w:val="24"/>
          <w:szCs w:val="24"/>
        </w:rPr>
        <w:t>所有工作人员必须通过机场公安机关考核，取得控制区通行证。本项目摆放作业工人应为专职人员，不得兼职其它项目。</w:t>
      </w:r>
    </w:p>
    <w:p>
      <w:pPr>
        <w:widowControl/>
        <w:spacing w:line="360" w:lineRule="auto"/>
        <w:ind w:firstLine="480" w:firstLineChars="200"/>
      </w:pPr>
      <w:r>
        <w:rPr>
          <w:rFonts w:hint="eastAsia" w:ascii="仿宋_GB2312" w:eastAsia="仿宋_GB2312" w:hAnsiTheme="minorHAnsi" w:cstheme="minorBidi"/>
          <w:sz w:val="24"/>
          <w:szCs w:val="24"/>
        </w:rPr>
        <w:t>（3）工作人员上岗时应统一着装，工作服样式应经甲方备案，列入考核办法中。</w:t>
      </w:r>
    </w:p>
    <w:p>
      <w:pPr>
        <w:spacing w:line="360" w:lineRule="auto"/>
        <w:rPr>
          <w:rFonts w:ascii="仿宋_GB2312" w:eastAsia="仿宋_GB2312"/>
          <w:b/>
          <w:sz w:val="24"/>
          <w:szCs w:val="24"/>
        </w:rPr>
      </w:pPr>
    </w:p>
    <w:p>
      <w:pPr>
        <w:spacing w:line="360" w:lineRule="auto"/>
        <w:rPr>
          <w:rFonts w:ascii="仿宋_GB2312" w:eastAsia="仿宋_GB2312"/>
          <w:b/>
          <w:sz w:val="24"/>
          <w:szCs w:val="24"/>
        </w:rPr>
      </w:pPr>
      <w:r>
        <w:rPr>
          <w:rFonts w:hint="eastAsia" w:ascii="仿宋_GB2312" w:eastAsia="仿宋_GB2312"/>
          <w:b/>
          <w:sz w:val="24"/>
          <w:szCs w:val="24"/>
        </w:rPr>
        <w:t xml:space="preserve">第五条 </w:t>
      </w:r>
      <w:r>
        <w:rPr>
          <w:rFonts w:hint="eastAsia" w:ascii="仿宋_GB2312" w:eastAsia="仿宋_GB2312"/>
          <w:b/>
          <w:sz w:val="24"/>
          <w:szCs w:val="24"/>
        </w:rPr>
        <w:tab/>
      </w:r>
      <w:r>
        <w:rPr>
          <w:rFonts w:hint="eastAsia" w:ascii="仿宋_GB2312" w:eastAsia="仿宋_GB2312"/>
          <w:b/>
          <w:sz w:val="24"/>
          <w:szCs w:val="24"/>
        </w:rPr>
        <w:t>付款方式</w:t>
      </w:r>
    </w:p>
    <w:p>
      <w:pPr>
        <w:spacing w:line="360" w:lineRule="auto"/>
        <w:ind w:firstLine="480" w:firstLineChars="200"/>
      </w:pPr>
      <w:r>
        <w:rPr>
          <w:rFonts w:hint="eastAsia" w:ascii="仿宋_GB2312" w:eastAsia="仿宋_GB2312"/>
          <w:sz w:val="24"/>
          <w:szCs w:val="24"/>
        </w:rPr>
        <w:t>1.甲方根据《航站楼环境景观绿化综合项目服务质量考核制度》（附件3），除合同开始履行的第一个月外，每月初对乙方上个月的绿化服务情况进行考核，确定上个月甲方需向乙方支付的绿化服务费用。</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乙方每月工作完成后，甲方根据上月对乙方的绿化服务考核情况，确定上月甲方需向乙方支付的绿化服务费用后，乙方开具相应的增值税专用发票，甲方自收到乙方增值税专用发票后的十五个工作日内支付上月绿化服务费给乙方。</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3.甲方有权根据甲方实际业务情况或者自然灾害、重大突发性公共事件、重大疫病卫生时间等不可抗力因素，调整对植物摆放的需求，乙方承诺，同意服从甲方的安排，并对此不得提出异议。因甲方调整植物摆放导致扣除的乙方当月绿化服务费用，按照实际未摆放的植物数量乘以中标文件明确的植物单价进行计算。</w:t>
      </w:r>
    </w:p>
    <w:p>
      <w:pPr>
        <w:spacing w:line="360" w:lineRule="auto"/>
        <w:rPr>
          <w:rFonts w:ascii="仿宋_GB2312" w:eastAsia="仿宋_GB2312"/>
          <w:b/>
          <w:sz w:val="24"/>
          <w:szCs w:val="24"/>
        </w:rPr>
      </w:pPr>
      <w:r>
        <w:rPr>
          <w:rFonts w:hint="eastAsia" w:ascii="仿宋_GB2312" w:eastAsia="仿宋_GB2312"/>
          <w:b/>
          <w:sz w:val="24"/>
          <w:szCs w:val="24"/>
        </w:rPr>
        <w:t>第六条 履约保证金</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1.乙方须以先期支付履约保证金的形式为其履行合同进行担保；</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2.甲方发出中标通知书15日内，乙方应向甲方缴纳合同总价的10%作为履约保证金，金额为人民币（大写）【】 ，（小写）： 元。</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3.甲方在任何时候有权从履约保证金中扣除用于修复乙方损坏甲方的设备、设施、场地或乙方违约而导致损失的金额，且乙方应在接到扣除履约保证金通知后十个工作日内，补足扣除差额，保证承包期间履约保证金的完整。乙方未能按时足额缴纳保证金或甲方扣除保证金后乙方未能按时补足保证金的，则甲方有权单方面提前终止合同，并没收剩余履约保证金。</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4.本合同期内，乙方无权将履约保证金充抵双方约定的租金或其它费用；</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5.乙方不得将履约保证金的债权转让给第三者，或将履约保证金移作其它担保形式；</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6.如乙方在承包期内未有任何违约行为且不存在其他拖欠费用的，甲方在承包期满后二十个工作日内退回履约保证金；</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7.如甲、乙双方协商续签合同的，则已支付的履约保证金可转为下一个合同期限内的履约保证金；</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8.甲方有权根据乙方承包的工作内容及费用的增减调整履约保证金；</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9.履约保证金不计利息。</w:t>
      </w:r>
    </w:p>
    <w:p>
      <w:pPr>
        <w:spacing w:line="360" w:lineRule="auto"/>
        <w:rPr>
          <w:rFonts w:ascii="仿宋_GB2312" w:eastAsia="仿宋_GB2312"/>
          <w:b/>
          <w:bCs/>
          <w:sz w:val="24"/>
          <w:szCs w:val="24"/>
        </w:rPr>
      </w:pPr>
    </w:p>
    <w:p>
      <w:pPr>
        <w:spacing w:line="360" w:lineRule="auto"/>
        <w:rPr>
          <w:rFonts w:ascii="仿宋_GB2312" w:eastAsia="仿宋_GB2312"/>
          <w:b/>
          <w:sz w:val="24"/>
          <w:szCs w:val="24"/>
        </w:rPr>
      </w:pPr>
      <w:r>
        <w:rPr>
          <w:rFonts w:hint="eastAsia" w:ascii="仿宋_GB2312" w:eastAsia="仿宋_GB2312"/>
          <w:b/>
          <w:sz w:val="24"/>
          <w:szCs w:val="24"/>
        </w:rPr>
        <w:t>第七条 保险</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责任保险：乙方应在本合同期限内投保，且保险费由乙方承担，乙方须在合同签订后三十天内向甲方出示此保险单，并在合同期内根据甲方要求适时提供已付清保费的收据。否则，甲方有权单方面解除合同，且不承担任何责任。投保项目如下：投保的项目如下：</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雇主责任险：在合作期间内，乙方应进行雇主责任险的投保，以保证乙方工作人员在受雇过程中从事与业务有关的工作而遭受意外或患与业务有关的国家规定的职业性疾病，所致伤、残或死亡等人身财产损害时根据《中华人民共和国劳动法》、《中华人民共和国劳动合同法》及劳动合同等相关法律法规得到充足的赔偿。甲方不对乙方工作人员承担任何赔偿责任。</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3.公众责任险：乙方应进行公众责任险投保，以保证在本合同有效期间内在乙方的相关生产、经营或其它活动中发生的意外事故而造成甲、乙方外的他人（第三者）有人身伤亡和财产损失时得到应由乙方承担的经济赔偿。甲方不承担任何赔偿责任。</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4.有关保险应满足如下要求：</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采用国内通用公众责任险保单；</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以乙方为被保险人并将甲方加为附加被保险人或受益人；</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保险期限与合同期限相一致；</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保单需要包含以下责任：火灾爆炸、建筑物改变、装饰装置责任、人身侵害责任、车辆装卸责任、交叉责任、放弃代位求偿权等。</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5.员工人身意外保险</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在承包期内，乙方应对其员工投保人身意外险，该等保险内容包括但不限于因人为或意外引发挂箱坠落而造成的人和物的损失，高空作业工作人员的人身意外伤害保险，以保证甲方在乙方工作人员索赔时不承担任何责任。</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6.乙方在办理完上述保险之日起3日内将保险单复印件报甲方备案。若乙方未在本合同约定的时间内办理完毕上述保险，甲方有权解除本合同，并全额扣除乙方的履约保证金。</w:t>
      </w:r>
    </w:p>
    <w:p>
      <w:pPr>
        <w:spacing w:line="360" w:lineRule="auto"/>
        <w:rPr>
          <w:rFonts w:ascii="仿宋_GB2312" w:eastAsia="仿宋_GB2312"/>
          <w:b/>
          <w:bCs/>
          <w:sz w:val="24"/>
          <w:szCs w:val="24"/>
        </w:rPr>
      </w:pPr>
    </w:p>
    <w:p>
      <w:pPr>
        <w:spacing w:line="360" w:lineRule="auto"/>
        <w:rPr>
          <w:rFonts w:ascii="仿宋_GB2312" w:eastAsia="仿宋_GB2312"/>
          <w:b/>
          <w:sz w:val="24"/>
          <w:szCs w:val="24"/>
        </w:rPr>
      </w:pPr>
      <w:r>
        <w:rPr>
          <w:rFonts w:hint="eastAsia" w:ascii="仿宋_GB2312" w:eastAsia="仿宋_GB2312"/>
          <w:b/>
          <w:sz w:val="24"/>
          <w:szCs w:val="24"/>
        </w:rPr>
        <w:t>第八条 甲方的权利和义务</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1.在乙方严格遵守合同条款的情况下，甲方保证乙方正常服务与管理活动不受干扰。</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协助乙方在本合同有效期限内按有关规定办理因乙方提供的服务与管理所必须的机场各类人员、交通工具、移动通讯设备等的通行证件和许可证，协助乙方的员工和物品按有关规定进出本合同项下绿化服务区域。</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 xml:space="preserve">3.提供乙方必备的仓储（包括封闭式和敞开式）、办公、休息区域，具体数量及面积和位置由乙方向甲方提出书面申请，经甲方审核同意后，双方另行签署租赁合同，租金按甲方标准收取。乙方如需使用除此以外的办公、仓储场所须向甲方另行租赁，双方另行签订租赁合同，租金标准在租赁合同中约定。甲方提供的以上区域包括租赁区域均可以由甲方随时调整和重新划定，但必须提前七天书面通知乙方。 </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4.甲方主要代表：甲方授权杭州萧山国际机场有限公司航站区管理中心作为其代表，并授权航站区管理中心相关人员（一人或多人）作为甲方履行本合同的主要代表，主要负责本合同涉及的所有事项，履行本合同甲方的权利与义务，监督乙方本合同的履约情况，包括但不限于对乙方服务与管理执行标准的考核与监督。</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5.</w:t>
      </w:r>
      <w:r>
        <w:rPr>
          <w:rFonts w:hint="eastAsia" w:ascii="仿宋_GB2312" w:eastAsia="仿宋_GB2312" w:hAnsiTheme="minorHAnsi"/>
          <w:sz w:val="24"/>
          <w:szCs w:val="24"/>
        </w:rPr>
        <w:t>依据</w:t>
      </w:r>
      <w:r>
        <w:rPr>
          <w:rFonts w:hint="eastAsia" w:ascii="仿宋_GB2312" w:eastAsia="仿宋_GB2312"/>
          <w:sz w:val="24"/>
          <w:szCs w:val="24"/>
        </w:rPr>
        <w:t>航站楼环境景观绿化综合项目管理标准（详见附件2）、航站楼环境景观绿化综合项目服务质量考核制度（详见附件3）、航站楼绿化租摆技术规范（详见附件4）</w:t>
      </w:r>
      <w:r>
        <w:rPr>
          <w:rFonts w:hint="eastAsia" w:ascii="仿宋_GB2312" w:eastAsia="仿宋_GB2312" w:hAnsiTheme="minorHAnsi"/>
          <w:sz w:val="24"/>
          <w:szCs w:val="24"/>
        </w:rPr>
        <w:t>定期对乙方</w:t>
      </w:r>
      <w:r>
        <w:rPr>
          <w:rFonts w:hint="eastAsia" w:ascii="仿宋_GB2312" w:eastAsia="仿宋_GB2312"/>
          <w:sz w:val="24"/>
          <w:szCs w:val="24"/>
        </w:rPr>
        <w:t>航站楼环境景观绿化综合项目</w:t>
      </w:r>
      <w:r>
        <w:rPr>
          <w:rFonts w:hint="eastAsia" w:ascii="仿宋_GB2312" w:eastAsia="仿宋_GB2312" w:hAnsiTheme="minorHAnsi"/>
          <w:sz w:val="24"/>
          <w:szCs w:val="24"/>
        </w:rPr>
        <w:t>的管理进行考核，并根据考核结果确定服务费用。</w:t>
      </w:r>
    </w:p>
    <w:p>
      <w:pPr>
        <w:spacing w:line="360" w:lineRule="auto"/>
        <w:ind w:firstLine="480" w:firstLineChars="200"/>
        <w:rPr>
          <w:rFonts w:ascii="仿宋_GB2312" w:eastAsiaTheme="minorEastAsia"/>
          <w:b/>
          <w:bCs/>
          <w:sz w:val="24"/>
          <w:szCs w:val="24"/>
        </w:rPr>
      </w:pPr>
    </w:p>
    <w:p>
      <w:pPr>
        <w:spacing w:line="360" w:lineRule="auto"/>
        <w:rPr>
          <w:rFonts w:ascii="仿宋_GB2312" w:eastAsia="仿宋_GB2312"/>
          <w:b/>
          <w:sz w:val="24"/>
          <w:szCs w:val="24"/>
        </w:rPr>
      </w:pPr>
      <w:r>
        <w:rPr>
          <w:rFonts w:hint="eastAsia" w:ascii="仿宋_GB2312" w:eastAsia="仿宋_GB2312"/>
          <w:b/>
          <w:sz w:val="24"/>
          <w:szCs w:val="24"/>
        </w:rPr>
        <w:t>第九条 乙方的权利和义务</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乙方不得以任何形式转租、转让、抵押、分包本承包合同项下的项目；所有涉及本承包合同项下的服务，乙方均不得以任何形式与第三方合作，且乙方只能从事甲方认可的绿化服务及相关的管理工作。如有违反，甲方有权解除合同。</w:t>
      </w:r>
    </w:p>
    <w:p>
      <w:pPr>
        <w:spacing w:line="360" w:lineRule="auto"/>
        <w:ind w:firstLine="560" w:firstLineChars="200"/>
        <w:rPr>
          <w:rFonts w:ascii="仿宋_GB2312" w:eastAsia="仿宋_GB2312" w:hAnsiTheme="minorHAnsi"/>
          <w:sz w:val="24"/>
          <w:szCs w:val="24"/>
        </w:rPr>
      </w:pPr>
      <w:r>
        <w:rPr>
          <w:rFonts w:hint="eastAsia" w:ascii="仿宋_GB2312" w:eastAsia="仿宋_GB2312"/>
          <w:sz w:val="28"/>
          <w:szCs w:val="28"/>
        </w:rPr>
        <w:t>2.</w:t>
      </w:r>
      <w:r>
        <w:rPr>
          <w:rFonts w:hint="eastAsia" w:ascii="仿宋_GB2312" w:eastAsia="仿宋_GB2312" w:hAnsiTheme="minorHAnsi"/>
          <w:sz w:val="24"/>
          <w:szCs w:val="24"/>
        </w:rPr>
        <w:t>乙方须按甲方招标文件、乙方的投标文件及甲方要求</w:t>
      </w:r>
      <w:r>
        <w:rPr>
          <w:rFonts w:hint="eastAsia" w:ascii="仿宋_GB2312" w:eastAsia="仿宋_GB2312"/>
          <w:sz w:val="24"/>
          <w:szCs w:val="24"/>
        </w:rPr>
        <w:t>，</w:t>
      </w:r>
      <w:r>
        <w:rPr>
          <w:rFonts w:hint="eastAsia" w:ascii="仿宋_GB2312" w:eastAsia="仿宋_GB2312" w:hAnsiTheme="minorHAnsi"/>
          <w:sz w:val="24"/>
          <w:szCs w:val="24"/>
        </w:rPr>
        <w:t>委派乙方的项目经理，由乙方的项目经理全权负责具体履行本合同约定所提供的航站楼</w:t>
      </w:r>
      <w:r>
        <w:rPr>
          <w:rFonts w:hint="eastAsia" w:ascii="仿宋_GB2312" w:eastAsia="仿宋_GB2312"/>
          <w:sz w:val="24"/>
          <w:szCs w:val="24"/>
        </w:rPr>
        <w:t>环境景观绿化综合项目</w:t>
      </w:r>
      <w:r>
        <w:rPr>
          <w:rFonts w:hint="eastAsia" w:ascii="仿宋_GB2312" w:eastAsia="仿宋_GB2312" w:hAnsiTheme="minorHAnsi"/>
          <w:sz w:val="24"/>
          <w:szCs w:val="24"/>
        </w:rPr>
        <w:t>工作、对乙方工作人员的管理、与乙方对接各种事宜等各种具体的事务。</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乙方项目经理（姓名：，身份证：，联系方式：  ）的变更必须提前7日书面通知甲方，并经由甲方审核同意后，方可进行变更。乙方项目经理将全权代表乙方就乙方按本合同约定所提供的航站楼</w:t>
      </w:r>
      <w:r>
        <w:rPr>
          <w:rFonts w:hint="eastAsia" w:ascii="仿宋_GB2312" w:eastAsia="仿宋_GB2312"/>
          <w:sz w:val="24"/>
          <w:szCs w:val="24"/>
        </w:rPr>
        <w:t>环境景观绿化综合项目工作</w:t>
      </w:r>
      <w:r>
        <w:rPr>
          <w:rFonts w:hint="eastAsia" w:ascii="仿宋_GB2312" w:eastAsia="仿宋_GB2312" w:hAnsiTheme="minorHAnsi"/>
          <w:sz w:val="24"/>
          <w:szCs w:val="24"/>
        </w:rPr>
        <w:t>、对乙方工作人员的管理以及乙方在本合同项下义务所涉及的所有事项，且代表乙方与甲方保持密切联系，代表乙方接收通知书等书面文件，代表乙方处理在甲方发生的各种突发事件等事宜，乙方对上述项目经理所从事的行为都予以承认与认可。甲方有权信赖乙方主要代表行使上述权利的权威性、有效性、合法性。</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若在本合同履行期限内，甲方发现乙方的项目经理不履行职责，不遵守甲方的相关制度规定，不服从甲方的管理，甲方有权向乙方提出更换项目经理的请求，乙方在收到甲方书面通知之日起3日内予以书面答复，并明确具体的整改意见或者整改措施。若乙方在收到甲方书面通知之日起3日内不予以答复，则视为同意甲方的意见，乙方需在同意或视为同意之日起7日内按照甲方通知的要求作出新的人员调整，并经甲方审核确认。若乙方在同意之日起7日内未作出新的调整，甲方有权解除合同，并要求乙方承担实际违约责任，甲方有权先从履约保证金中扣除合同总价【5%】的违约金，履约保证金不足以扣除违约金部分由乙方予以补足。</w:t>
      </w:r>
    </w:p>
    <w:p>
      <w:pPr>
        <w:spacing w:line="360" w:lineRule="auto"/>
        <w:ind w:firstLine="480" w:firstLineChars="200"/>
        <w:rPr>
          <w:rFonts w:ascii="仿宋_GB2312" w:eastAsia="仿宋_GB2312" w:hAnsiTheme="minorHAnsi"/>
          <w:sz w:val="24"/>
          <w:szCs w:val="24"/>
        </w:rPr>
      </w:pPr>
      <w:r>
        <w:rPr>
          <w:rFonts w:hint="eastAsia" w:ascii="仿宋_GB2312" w:eastAsia="仿宋_GB2312"/>
          <w:sz w:val="24"/>
          <w:szCs w:val="24"/>
        </w:rPr>
        <w:t>3.</w:t>
      </w:r>
      <w:r>
        <w:rPr>
          <w:rFonts w:hint="eastAsia" w:ascii="仿宋_GB2312" w:eastAsia="仿宋_GB2312" w:hAnsiTheme="minorHAnsi"/>
          <w:sz w:val="24"/>
          <w:szCs w:val="24"/>
        </w:rPr>
        <w:t>乙方应按照《航站楼</w:t>
      </w:r>
      <w:r>
        <w:rPr>
          <w:rFonts w:hint="eastAsia" w:ascii="仿宋_GB2312" w:eastAsia="仿宋_GB2312"/>
          <w:sz w:val="24"/>
          <w:szCs w:val="24"/>
        </w:rPr>
        <w:t>绿化</w:t>
      </w:r>
      <w:r>
        <w:rPr>
          <w:rFonts w:hint="eastAsia" w:ascii="仿宋_GB2312" w:eastAsia="仿宋_GB2312" w:hAnsiTheme="minorHAnsi"/>
          <w:sz w:val="24"/>
          <w:szCs w:val="24"/>
        </w:rPr>
        <w:t>租摆技术规范》</w:t>
      </w:r>
      <w:r>
        <w:rPr>
          <w:rFonts w:hint="eastAsia" w:ascii="仿宋_GB2312" w:eastAsia="仿宋_GB2312"/>
          <w:sz w:val="24"/>
          <w:szCs w:val="24"/>
        </w:rPr>
        <w:t>（附件4）</w:t>
      </w:r>
      <w:r>
        <w:rPr>
          <w:rFonts w:hint="eastAsia" w:ascii="仿宋_GB2312" w:eastAsia="仿宋_GB2312" w:hAnsiTheme="minorHAnsi"/>
          <w:sz w:val="24"/>
          <w:szCs w:val="24"/>
        </w:rPr>
        <w:t>及时完成本合同项下的盆花摆放、更换与养护工作，服从甲方的日常管理，配合甲方定期的考核。</w:t>
      </w:r>
    </w:p>
    <w:p>
      <w:pPr>
        <w:spacing w:line="360" w:lineRule="auto"/>
        <w:ind w:firstLine="480" w:firstLineChars="200"/>
        <w:rPr>
          <w:rFonts w:ascii="仿宋_GB2312" w:eastAsia="仿宋_GB2312" w:hAnsiTheme="minorHAnsi"/>
          <w:sz w:val="24"/>
          <w:szCs w:val="24"/>
        </w:rPr>
      </w:pPr>
      <w:r>
        <w:rPr>
          <w:rFonts w:hint="eastAsia" w:ascii="仿宋_GB2312" w:eastAsia="仿宋_GB2312"/>
          <w:sz w:val="24"/>
          <w:szCs w:val="24"/>
        </w:rPr>
        <w:t>4.</w:t>
      </w:r>
      <w:r>
        <w:rPr>
          <w:rFonts w:hint="eastAsia" w:ascii="仿宋_GB2312" w:eastAsia="仿宋_GB2312" w:hAnsiTheme="minorHAnsi"/>
          <w:sz w:val="24"/>
          <w:szCs w:val="24"/>
        </w:rPr>
        <w:t>乙方必须严格按本合同条款、招投标要求、租摆服务质量标准及相关规定，精心组织摆放，确保服务质量，承担设施、人员安全和公共安全责任。严格履行投标书中优惠承诺、投标书及询标答复有关承诺。</w:t>
      </w:r>
    </w:p>
    <w:p>
      <w:pPr>
        <w:spacing w:line="360" w:lineRule="auto"/>
        <w:ind w:firstLine="480" w:firstLineChars="200"/>
        <w:rPr>
          <w:rFonts w:ascii="仿宋_GB2312" w:eastAsia="仿宋_GB2312" w:hAnsiTheme="minorHAnsi"/>
          <w:sz w:val="24"/>
          <w:szCs w:val="24"/>
        </w:rPr>
      </w:pPr>
      <w:r>
        <w:rPr>
          <w:rFonts w:hint="eastAsia" w:ascii="仿宋_GB2312" w:eastAsia="仿宋_GB2312"/>
          <w:sz w:val="24"/>
          <w:szCs w:val="24"/>
        </w:rPr>
        <w:t>5.</w:t>
      </w:r>
      <w:r>
        <w:rPr>
          <w:rFonts w:hint="eastAsia" w:ascii="仿宋_GB2312" w:eastAsia="仿宋_GB2312" w:hAnsiTheme="minorHAnsi"/>
          <w:sz w:val="24"/>
          <w:szCs w:val="24"/>
        </w:rPr>
        <w:t>乙方</w:t>
      </w:r>
      <w:r>
        <w:rPr>
          <w:rFonts w:hint="eastAsia" w:ascii="仿宋_GB2312" w:eastAsia="仿宋_GB2312"/>
          <w:sz w:val="24"/>
          <w:szCs w:val="24"/>
        </w:rPr>
        <w:t>须在合同履行后7天内</w:t>
      </w:r>
      <w:r>
        <w:rPr>
          <w:rFonts w:hint="eastAsia" w:ascii="仿宋_GB2312" w:eastAsia="仿宋_GB2312" w:hAnsiTheme="minorHAnsi"/>
          <w:sz w:val="24"/>
          <w:szCs w:val="24"/>
        </w:rPr>
        <w:t>制定</w:t>
      </w:r>
      <w:r>
        <w:rPr>
          <w:rFonts w:hint="eastAsia" w:ascii="仿宋_GB2312" w:eastAsia="仿宋_GB2312"/>
          <w:sz w:val="24"/>
          <w:szCs w:val="24"/>
        </w:rPr>
        <w:t>年度航站楼环境景观绿化综合项目</w:t>
      </w:r>
      <w:r>
        <w:rPr>
          <w:rFonts w:hint="eastAsia" w:ascii="仿宋_GB2312" w:eastAsia="仿宋_GB2312" w:hAnsiTheme="minorHAnsi"/>
          <w:sz w:val="24"/>
          <w:szCs w:val="24"/>
        </w:rPr>
        <w:t>工作计划并提交甲方，包括各类养护管理措施（如施肥、修剪、病虫害防治等）、质量安全保证、应急管理（防汛、抗台、抗雪、防火安全、作业安全等）、重点技术措施</w:t>
      </w:r>
      <w:r>
        <w:rPr>
          <w:rFonts w:hint="eastAsia" w:ascii="仿宋_GB2312" w:eastAsia="仿宋_GB2312"/>
          <w:sz w:val="24"/>
          <w:szCs w:val="24"/>
        </w:rPr>
        <w:t>。</w:t>
      </w:r>
      <w:r>
        <w:rPr>
          <w:rFonts w:hint="eastAsia" w:ascii="仿宋_GB2312" w:eastAsia="仿宋_GB2312" w:hAnsiTheme="minorHAnsi"/>
          <w:sz w:val="24"/>
          <w:szCs w:val="24"/>
        </w:rPr>
        <w:t>乙方</w:t>
      </w:r>
      <w:r>
        <w:rPr>
          <w:rFonts w:hint="eastAsia" w:ascii="仿宋_GB2312" w:eastAsia="仿宋_GB2312"/>
          <w:sz w:val="24"/>
          <w:szCs w:val="24"/>
        </w:rPr>
        <w:t>须</w:t>
      </w:r>
      <w:r>
        <w:rPr>
          <w:rFonts w:hint="eastAsia" w:ascii="仿宋_GB2312" w:eastAsia="仿宋_GB2312" w:hAnsiTheme="minorHAnsi"/>
          <w:sz w:val="24"/>
          <w:szCs w:val="24"/>
        </w:rPr>
        <w:t>制定</w:t>
      </w:r>
      <w:r>
        <w:rPr>
          <w:rFonts w:hint="eastAsia" w:ascii="仿宋_GB2312" w:eastAsia="仿宋_GB2312"/>
          <w:sz w:val="24"/>
          <w:szCs w:val="24"/>
        </w:rPr>
        <w:t>年度花堆</w:t>
      </w:r>
      <w:r>
        <w:rPr>
          <w:rFonts w:hint="eastAsia" w:ascii="仿宋_GB2312" w:eastAsia="仿宋_GB2312" w:hAnsiTheme="minorHAnsi"/>
          <w:sz w:val="24"/>
          <w:szCs w:val="24"/>
        </w:rPr>
        <w:t>摆放计划，</w:t>
      </w:r>
      <w:r>
        <w:rPr>
          <w:rFonts w:hint="eastAsia" w:ascii="仿宋_GB2312" w:eastAsia="仿宋_GB2312"/>
          <w:sz w:val="24"/>
          <w:szCs w:val="24"/>
        </w:rPr>
        <w:t>包括</w:t>
      </w:r>
      <w:r>
        <w:rPr>
          <w:rFonts w:hint="eastAsia" w:ascii="仿宋_GB2312" w:eastAsia="仿宋_GB2312" w:hAnsiTheme="minorHAnsi"/>
          <w:sz w:val="24"/>
          <w:szCs w:val="24"/>
        </w:rPr>
        <w:t>摆放时间、</w:t>
      </w:r>
      <w:r>
        <w:rPr>
          <w:rFonts w:hint="eastAsia" w:ascii="仿宋_GB2312" w:eastAsia="仿宋_GB2312"/>
          <w:sz w:val="24"/>
          <w:szCs w:val="24"/>
        </w:rPr>
        <w:t>硬质景观、花堆</w:t>
      </w:r>
      <w:r>
        <w:rPr>
          <w:rFonts w:hint="eastAsia" w:ascii="仿宋_GB2312" w:eastAsia="仿宋_GB2312" w:hAnsiTheme="minorHAnsi"/>
          <w:sz w:val="24"/>
          <w:szCs w:val="24"/>
        </w:rPr>
        <w:t>尺寸、绿植花卉品种、摆放点位和调换时间等</w:t>
      </w:r>
      <w:r>
        <w:rPr>
          <w:rFonts w:hint="eastAsia" w:ascii="仿宋_GB2312" w:eastAsia="仿宋_GB2312"/>
          <w:sz w:val="24"/>
          <w:szCs w:val="24"/>
        </w:rPr>
        <w:t>。节假日花堆摆放计划</w:t>
      </w:r>
      <w:r>
        <w:rPr>
          <w:rFonts w:hint="eastAsia" w:ascii="仿宋_GB2312" w:eastAsia="仿宋_GB2312" w:hAnsiTheme="minorHAnsi"/>
          <w:sz w:val="24"/>
          <w:szCs w:val="24"/>
        </w:rPr>
        <w:t>需</w:t>
      </w:r>
      <w:r>
        <w:rPr>
          <w:rFonts w:hint="eastAsia" w:ascii="仿宋_GB2312" w:eastAsia="仿宋_GB2312"/>
          <w:sz w:val="24"/>
          <w:szCs w:val="24"/>
        </w:rPr>
        <w:t>在节假日前一个月</w:t>
      </w:r>
      <w:r>
        <w:rPr>
          <w:rFonts w:hint="eastAsia" w:ascii="仿宋_GB2312" w:eastAsia="仿宋_GB2312" w:hAnsiTheme="minorHAnsi"/>
          <w:sz w:val="24"/>
          <w:szCs w:val="24"/>
        </w:rPr>
        <w:t>向甲方提出书面申请，</w:t>
      </w:r>
      <w:r>
        <w:rPr>
          <w:rFonts w:hint="eastAsia" w:ascii="仿宋_GB2312" w:eastAsia="仿宋_GB2312"/>
          <w:sz w:val="24"/>
          <w:szCs w:val="24"/>
        </w:rPr>
        <w:t>包括花堆效果图</w:t>
      </w:r>
      <w:r>
        <w:rPr>
          <w:rFonts w:hint="eastAsia" w:ascii="仿宋_GB2312" w:eastAsia="仿宋_GB2312" w:hAnsiTheme="minorHAnsi"/>
          <w:sz w:val="24"/>
          <w:szCs w:val="24"/>
        </w:rPr>
        <w:t>、</w:t>
      </w:r>
      <w:r>
        <w:rPr>
          <w:rFonts w:hint="eastAsia" w:ascii="仿宋_GB2312" w:eastAsia="仿宋_GB2312"/>
          <w:sz w:val="24"/>
          <w:szCs w:val="24"/>
        </w:rPr>
        <w:t>硬质景观、花堆</w:t>
      </w:r>
      <w:r>
        <w:rPr>
          <w:rFonts w:hint="eastAsia" w:ascii="仿宋_GB2312" w:eastAsia="仿宋_GB2312" w:hAnsiTheme="minorHAnsi"/>
          <w:sz w:val="24"/>
          <w:szCs w:val="24"/>
        </w:rPr>
        <w:t>尺寸、绿植花卉品种、摆放点位</w:t>
      </w:r>
      <w:r>
        <w:rPr>
          <w:rFonts w:hint="eastAsia" w:ascii="仿宋_GB2312" w:eastAsia="仿宋_GB2312"/>
          <w:sz w:val="24"/>
          <w:szCs w:val="24"/>
        </w:rPr>
        <w:t>。</w:t>
      </w:r>
      <w:r>
        <w:rPr>
          <w:rFonts w:hint="eastAsia" w:ascii="仿宋_GB2312" w:eastAsia="仿宋_GB2312" w:hAnsiTheme="minorHAnsi"/>
          <w:sz w:val="24"/>
          <w:szCs w:val="24"/>
        </w:rPr>
        <w:t>经甲方审核通过后3日内开始实施。</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若发现上述计划存在不合理之处，甲方有权提出修改意见，乙方在收到甲方修改意见之日起2日内需整改完成，若整改仍不合理或者未按时完成整改，甲方有权扣除乙方履约保证金的【0.5%】。</w:t>
      </w:r>
    </w:p>
    <w:p>
      <w:pPr>
        <w:spacing w:line="360" w:lineRule="auto"/>
        <w:ind w:firstLine="480" w:firstLineChars="200"/>
        <w:rPr>
          <w:rFonts w:ascii="仿宋_GB2312" w:eastAsia="仿宋_GB2312" w:hAnsiTheme="minorHAnsi"/>
          <w:sz w:val="24"/>
          <w:szCs w:val="24"/>
        </w:rPr>
      </w:pPr>
      <w:r>
        <w:rPr>
          <w:rFonts w:hint="eastAsia" w:ascii="仿宋_GB2312" w:eastAsia="仿宋_GB2312"/>
          <w:sz w:val="24"/>
          <w:szCs w:val="24"/>
        </w:rPr>
        <w:t>6.</w:t>
      </w:r>
      <w:r>
        <w:rPr>
          <w:rFonts w:hint="eastAsia" w:ascii="仿宋_GB2312" w:eastAsia="仿宋_GB2312" w:hAnsiTheme="minorHAnsi"/>
          <w:sz w:val="24"/>
          <w:szCs w:val="24"/>
        </w:rPr>
        <w:t>乙方根据甲方招标文件、甲方的要求及乙方投标文件的要求，安排管理力量，制定劳动力计划表，做好作业人员及数量的投入、机械设备的投入，做好突击性工作的应急安排等，落实项目经理及摆放作业人员名单。</w:t>
      </w:r>
    </w:p>
    <w:p>
      <w:pPr>
        <w:spacing w:line="360" w:lineRule="auto"/>
        <w:ind w:firstLine="480" w:firstLineChars="200"/>
        <w:rPr>
          <w:rFonts w:ascii="仿宋_GB2312" w:eastAsia="仿宋_GB2312" w:hAnsiTheme="minorHAnsi"/>
          <w:sz w:val="24"/>
          <w:szCs w:val="24"/>
        </w:rPr>
      </w:pPr>
      <w:r>
        <w:rPr>
          <w:rFonts w:hint="eastAsia" w:ascii="仿宋_GB2312" w:eastAsia="仿宋_GB2312"/>
          <w:sz w:val="24"/>
          <w:szCs w:val="24"/>
        </w:rPr>
        <w:t>7.</w:t>
      </w:r>
      <w:r>
        <w:rPr>
          <w:rFonts w:hint="eastAsia" w:ascii="仿宋_GB2312" w:eastAsia="仿宋_GB2312" w:hAnsiTheme="minorHAnsi"/>
          <w:sz w:val="24"/>
          <w:szCs w:val="24"/>
        </w:rPr>
        <w:t>乙方的工作人员必须穿统一工作服；高架桥上下区域盆花摆放作业中，为保证安全，乙方工作人员必须穿反光背心装，并加强安全管理。在本合同履行期限内，乙方应定期与不定期为其工作人员进行安全知识培训。</w:t>
      </w:r>
    </w:p>
    <w:p>
      <w:pPr>
        <w:spacing w:line="360" w:lineRule="auto"/>
        <w:ind w:firstLine="480" w:firstLineChars="200"/>
        <w:rPr>
          <w:rFonts w:ascii="仿宋_GB2312" w:eastAsia="仿宋_GB2312" w:hAnsiTheme="minorHAnsi"/>
          <w:sz w:val="24"/>
          <w:szCs w:val="24"/>
        </w:rPr>
      </w:pPr>
      <w:r>
        <w:rPr>
          <w:rFonts w:hint="eastAsia" w:ascii="仿宋_GB2312" w:eastAsia="仿宋_GB2312"/>
          <w:sz w:val="24"/>
          <w:szCs w:val="24"/>
        </w:rPr>
        <w:t>8.</w:t>
      </w:r>
      <w:r>
        <w:rPr>
          <w:rFonts w:hint="eastAsia" w:ascii="仿宋_GB2312" w:eastAsia="仿宋_GB2312" w:hAnsiTheme="minorHAnsi"/>
          <w:sz w:val="24"/>
          <w:szCs w:val="24"/>
        </w:rPr>
        <w:t>乙方必须专门配备电脑（要求接通互联网）、电话、传真机等办公设备。</w:t>
      </w:r>
    </w:p>
    <w:p>
      <w:pPr>
        <w:spacing w:line="360" w:lineRule="auto"/>
        <w:ind w:firstLine="480" w:firstLineChars="200"/>
        <w:rPr>
          <w:rFonts w:ascii="仿宋_GB2312" w:eastAsia="仿宋_GB2312" w:hAnsiTheme="minorHAnsi"/>
          <w:sz w:val="24"/>
          <w:szCs w:val="24"/>
        </w:rPr>
      </w:pPr>
      <w:r>
        <w:rPr>
          <w:rFonts w:hint="eastAsia" w:ascii="仿宋_GB2312" w:eastAsia="仿宋_GB2312"/>
          <w:sz w:val="24"/>
          <w:szCs w:val="24"/>
        </w:rPr>
        <w:t>9.</w:t>
      </w:r>
      <w:r>
        <w:rPr>
          <w:rFonts w:hint="eastAsia" w:ascii="仿宋_GB2312" w:eastAsia="仿宋_GB2312" w:hAnsiTheme="minorHAnsi"/>
          <w:sz w:val="24"/>
          <w:szCs w:val="24"/>
        </w:rPr>
        <w:t>乙方在搬运盆花（包含花器等物品）及养护内庭院过程中需遵守甲方相关规章制度的要求，不得在机场范围内随意丢弃杂物，若导致甲方遭受第三方投诉或者因乙方丢弃行为导致第三方遭受财产、人身损害，使得甲方被第三方索赔，甲方有权在承担该等责任后向乙方追偿，乙方必须向甲方承担该等实际损失，甲方有权先扣除履约保证金弥补该等损失，若履约保证金不足以弥补该等损失，则不足部分乙方予以补足。</w:t>
      </w:r>
    </w:p>
    <w:p>
      <w:pPr>
        <w:spacing w:line="360" w:lineRule="auto"/>
        <w:ind w:firstLine="480" w:firstLineChars="200"/>
        <w:rPr>
          <w:rFonts w:ascii="仿宋_GB2312" w:eastAsia="仿宋_GB2312" w:hAnsiTheme="minorHAnsi"/>
          <w:sz w:val="24"/>
          <w:szCs w:val="24"/>
        </w:rPr>
      </w:pPr>
      <w:r>
        <w:rPr>
          <w:rFonts w:hint="eastAsia" w:ascii="仿宋_GB2312" w:eastAsia="仿宋_GB2312"/>
          <w:sz w:val="24"/>
          <w:szCs w:val="24"/>
        </w:rPr>
        <w:t>10.</w:t>
      </w:r>
      <w:r>
        <w:rPr>
          <w:rFonts w:hint="eastAsia" w:ascii="仿宋_GB2312" w:eastAsia="仿宋_GB2312" w:hAnsiTheme="minorHAnsi"/>
          <w:sz w:val="24"/>
          <w:szCs w:val="24"/>
        </w:rPr>
        <w:t>乙方必须与其委派到甲方的工作人员或者委派人员依法缔结劳动合同关系，遵守《中华人民共和国劳动法》、《中华人民共和国劳动合同法》及相关法律法规，履行用人单位义务，包括但不限于依约支付工资，依法为每一位员工办理和缴纳社会保险(养老保险、失业保险、工作保险、生育保险、医疗保险) ，提供劳动合同规定的劳动条件和福利待遇。乙方工作人员或者委派人员与乙方发生的一切劳动纠纷及其它争议均由乙方妥善处理，与甲方无任何关系。</w:t>
      </w:r>
    </w:p>
    <w:p>
      <w:pPr>
        <w:spacing w:line="360" w:lineRule="auto"/>
        <w:ind w:firstLine="480" w:firstLineChars="200"/>
        <w:rPr>
          <w:rFonts w:ascii="仿宋_GB2312" w:eastAsia="仿宋_GB2312" w:hAnsiTheme="minorHAnsi"/>
          <w:sz w:val="24"/>
          <w:szCs w:val="24"/>
        </w:rPr>
      </w:pPr>
      <w:r>
        <w:rPr>
          <w:rFonts w:hint="eastAsia" w:ascii="仿宋_GB2312" w:eastAsia="仿宋_GB2312"/>
          <w:sz w:val="24"/>
          <w:szCs w:val="24"/>
        </w:rPr>
        <w:t>11.</w:t>
      </w:r>
      <w:r>
        <w:rPr>
          <w:rFonts w:hint="eastAsia" w:ascii="仿宋_GB2312" w:eastAsia="仿宋_GB2312" w:hAnsiTheme="minorHAnsi"/>
          <w:sz w:val="24"/>
          <w:szCs w:val="24"/>
        </w:rPr>
        <w:t>乙方应当按照甲方的要求</w:t>
      </w:r>
      <w:r>
        <w:rPr>
          <w:rFonts w:hint="eastAsia" w:ascii="仿宋_GB2312" w:eastAsia="仿宋_GB2312"/>
          <w:sz w:val="24"/>
          <w:szCs w:val="24"/>
        </w:rPr>
        <w:t>每月</w:t>
      </w:r>
      <w:r>
        <w:rPr>
          <w:rFonts w:hint="eastAsia" w:ascii="仿宋_GB2312" w:eastAsia="仿宋_GB2312" w:hAnsiTheme="minorHAnsi"/>
          <w:sz w:val="24"/>
          <w:szCs w:val="24"/>
        </w:rPr>
        <w:t>给乙方的工作人员开展培训，培训内容除了与业务有关的内容外，还包括安全、通行证的使用等各种培训，并定期做好相关台账，以便甲方进行检查。</w:t>
      </w:r>
    </w:p>
    <w:p>
      <w:pPr>
        <w:spacing w:line="360" w:lineRule="auto"/>
        <w:ind w:firstLine="480" w:firstLineChars="200"/>
        <w:rPr>
          <w:rFonts w:ascii="仿宋_GB2312" w:eastAsia="仿宋_GB2312" w:hAnsiTheme="minorHAnsi"/>
          <w:sz w:val="24"/>
          <w:szCs w:val="24"/>
        </w:rPr>
      </w:pPr>
      <w:r>
        <w:rPr>
          <w:rFonts w:hint="eastAsia" w:ascii="仿宋_GB2312" w:eastAsia="仿宋_GB2312"/>
          <w:sz w:val="24"/>
          <w:szCs w:val="24"/>
        </w:rPr>
        <w:t>12.</w:t>
      </w:r>
      <w:r>
        <w:rPr>
          <w:rFonts w:hint="eastAsia" w:ascii="仿宋_GB2312" w:eastAsia="仿宋_GB2312" w:hAnsiTheme="minorHAnsi"/>
          <w:sz w:val="24"/>
          <w:szCs w:val="24"/>
        </w:rPr>
        <w:t>乙方按照甲方相关规章制度的要求，若需要办理相关通行证、停车证等证件，乙方根据甲方相关部门的要求统一进行考试、审查，经甲方相关部门认可后方可申请该等证件，办理这些证件产生的费用均由乙方自行承担。在获得该等证件后，乙方应按照甲方的相关规章制度执行，若因违法甲方相关规章制度而被处罚，乙方也应及时采取补救措施处理该等处罚事宜。</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1</w:t>
      </w:r>
      <w:r>
        <w:rPr>
          <w:rFonts w:hint="eastAsia" w:ascii="仿宋_GB2312" w:eastAsia="仿宋_GB2312"/>
          <w:sz w:val="24"/>
          <w:szCs w:val="24"/>
        </w:rPr>
        <w:t>3</w:t>
      </w:r>
      <w:r>
        <w:rPr>
          <w:rFonts w:hint="eastAsia" w:ascii="仿宋_GB2312" w:eastAsia="仿宋_GB2312" w:hAnsiTheme="minorHAnsi"/>
          <w:sz w:val="24"/>
          <w:szCs w:val="24"/>
        </w:rPr>
        <w:t xml:space="preserve">.如果乙方需要业务用房及库房，则需事先向甲方提出书面申请，经甲方审核同意后，双方另行签署租赁合同，租金按甲方标准收取。 </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14.乙方摆放作业人员服装按甲方的要求,着装规范、整洁，做到仪表整洁。</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15.乙方严格按照《杭州萧山国际机场控制区通行证管理办法》正确使用通行证，做好通行证的日常管理与台账，杜绝空防安全隐患与事故。</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16.乙方在航站楼内操作应使用专业搬运、养护工具，不得占用旅客行李手推车，不对航站楼内卫生环境造成影响。浇水、喷药作业应避开客流高峰期，在不影响旅客流程、不妨碍交通的情况下进行。</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17.乙方按照甲方《航站楼绿化租摆技术规范要求》严格遵守作业安全和空防安全的相关规定，遇到突发事件或自然灾害等紧急情况，必须服从甲方的指挥与安排，及时按规定处理。</w:t>
      </w:r>
    </w:p>
    <w:p>
      <w:pPr>
        <w:pStyle w:val="2"/>
        <w:spacing w:line="360" w:lineRule="auto"/>
        <w:ind w:firstLine="240"/>
        <w:rPr>
          <w:rFonts w:ascii="仿宋_GB2312" w:eastAsia="仿宋_GB2312"/>
          <w:b/>
          <w:bCs/>
          <w:sz w:val="24"/>
        </w:rPr>
      </w:pPr>
      <w:r>
        <w:rPr>
          <w:rFonts w:hint="eastAsia" w:ascii="仿宋_GB2312" w:eastAsia="仿宋_GB2312"/>
          <w:sz w:val="24"/>
        </w:rPr>
        <w:t xml:space="preserve"> </w:t>
      </w:r>
    </w:p>
    <w:p>
      <w:pPr>
        <w:spacing w:line="360" w:lineRule="auto"/>
        <w:rPr>
          <w:rFonts w:ascii="仿宋_GB2312" w:eastAsia="仿宋_GB2312"/>
          <w:b/>
          <w:sz w:val="24"/>
          <w:szCs w:val="24"/>
        </w:rPr>
      </w:pPr>
      <w:r>
        <w:rPr>
          <w:rFonts w:hint="eastAsia" w:ascii="仿宋_GB2312" w:eastAsia="仿宋_GB2312"/>
          <w:b/>
          <w:sz w:val="24"/>
          <w:szCs w:val="24"/>
        </w:rPr>
        <w:t>第十条 不可抗力</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不可抗力是指双方无法预见、且无法避免或克服的客观情形，包括但不限于水灾、地震、火山爆发、风暴或台风、流行病等自然灾害，以及国家法律、政策的调整，政府的行为，以及甲方上级主管部门的规划或要求等；机场改建、扩建或机场候机区域的功能及经营性调整以及航站楼功能、布局、流程进行的调整等情形。</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2.在承包期间因不可抗力原因导致承包区域不能正常经营，合同不能部分或全部履行，双方可以按以下各项执行：</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因不可抗力发生而导致任何一方不能履行本合同项下部分或全部义务的（如因不可抗力致使承包范围内场地和财物损坏或损失，甲、乙双方均不负修复与赔偿责任），遭遇不可抗力方可以免除合同责任，但必须在不可抗力事由发生后24小时内书面通知对方；未履行书面通知义务的，不得就扩大部分的损失免除责任。</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（2）因不可抗力导致合同终止，并不影响任何一方对不可抗力先前发生的违约行为的合法追偿。</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（3）因不可抗力造成甲方的损害，甲方的保险赔偿不受影响。对恢复承包合同期间各项服务的价格及其他费用双方可以协商解决。</w:t>
      </w:r>
    </w:p>
    <w:p>
      <w:pPr>
        <w:spacing w:line="360" w:lineRule="auto"/>
        <w:rPr>
          <w:rFonts w:ascii="仿宋_GB2312" w:eastAsia="仿宋_GB2312"/>
          <w:b/>
          <w:bCs/>
          <w:sz w:val="24"/>
          <w:szCs w:val="24"/>
        </w:rPr>
      </w:pPr>
    </w:p>
    <w:p>
      <w:pPr>
        <w:spacing w:line="360" w:lineRule="auto"/>
        <w:rPr>
          <w:rFonts w:ascii="仿宋_GB2312" w:eastAsia="仿宋_GB2312"/>
          <w:b/>
          <w:sz w:val="24"/>
          <w:szCs w:val="24"/>
        </w:rPr>
      </w:pPr>
      <w:r>
        <w:rPr>
          <w:rFonts w:hint="eastAsia" w:ascii="仿宋_GB2312" w:eastAsia="仿宋_GB2312"/>
          <w:b/>
          <w:sz w:val="24"/>
          <w:szCs w:val="24"/>
        </w:rPr>
        <w:t>第十一条 违约责任</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1.提前终止</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（1）通知终止</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因航站楼承包区域布局调整，导致乙方无法正常进行绿化服务（含不再需要乙方进行绿化服务），甲方有权提前一个月向乙方发出书面通知而终止承包合同，此种情形不属任何一方违约。乙方由此产生的损失，甲方不承担责任。</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2）乙方在合同期内，出现下列情况之一的，甲方有权终止本合同，并全额扣除履约保证金:</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a.在本合同有效期限内如连续两个月度考核得分低于85 分（包含 85 分）或合同有效期限内共计有三个的月度考核得分低于 85 分（包含 85 分）。</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b.发生因乙方责任原因造成的各类治安群体性事件、空防不安全事件、消防及其他不安全事件，事故症候，事故和严重影响航班正常性造成航班业务等情况的，或乙方出现三次以上不服从甲方管理,甲方有权向乙方发出书面通知终止承包合同。乙方自行承担因合同终止而产生的一切后果，甲方不承担责任。</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2.违约终止：乙方未能完全履行合同和遵守有关规定，在甲方发出书面整改通知后一个月仍未完成整改的，甲方有权立即终止承包合同。乙方自行承担因合同终止而产生的一切后果，甲方不承担责任。</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3.提前终止及违约终止承包期，早于15日以半月计算，15日以后以一个月计算。</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4.其他终止</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（1）乙方违反国家法津或被要求责令整顿或停止营业一个月以上的；</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（2）乙方破产清盘、重组及兼并等事实发生，或被债权人接管经营；</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出现以上（1）、（2）项情形的，乙方应在上述事件发生后五日内书面通知甲方，甲方有权立即终止合同。乙方自行承担因此而产生的一切后果，甲方不承担责任。</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5.自然终止</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合同履行期届满，自然终止。</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6.合同终止后的处理：</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（1）合同终止不影响任何一方根据合同规定有权要求对方给予的赔偿、补偿，也不影响根据合同约定条件对履约保证金的处理。</w:t>
      </w:r>
    </w:p>
    <w:p>
      <w:pPr>
        <w:pStyle w:val="2"/>
        <w:spacing w:after="0" w:line="360" w:lineRule="auto"/>
        <w:ind w:firstLine="480" w:firstLineChars="200"/>
        <w:rPr>
          <w:rFonts w:ascii="仿宋_GB2312" w:eastAsia="仿宋_GB2312"/>
          <w:sz w:val="24"/>
        </w:rPr>
      </w:pPr>
      <w:r>
        <w:rPr>
          <w:rFonts w:hint="eastAsia" w:ascii="仿宋_GB2312" w:eastAsia="仿宋_GB2312"/>
          <w:sz w:val="24"/>
        </w:rPr>
        <w:t>（2）自本合同终止之日起十个工作日内，乙方应完成和履行以下义务：</w:t>
      </w:r>
    </w:p>
    <w:p>
      <w:pPr>
        <w:pStyle w:val="2"/>
        <w:spacing w:after="0" w:line="360" w:lineRule="auto"/>
        <w:ind w:firstLine="480" w:firstLineChars="200"/>
        <w:rPr>
          <w:rFonts w:ascii="仿宋_GB2312" w:eastAsia="仿宋_GB2312"/>
          <w:sz w:val="24"/>
        </w:rPr>
      </w:pPr>
      <w:r>
        <w:rPr>
          <w:rFonts w:hint="eastAsia" w:ascii="仿宋_GB2312" w:eastAsia="仿宋_GB2312"/>
          <w:sz w:val="24"/>
        </w:rPr>
        <w:t>（a）将所占航站楼用房（仓库）及服务的航站楼区域和场所（除了为完成本合同规定必须继续服务的区域和场所外）返还给甲方，在移交完成前乙方需保持航站楼所服务的区域和场所干净与整洁。（b）乙方需将其所有的绿植、设施设备、机械工具等自行配备的用于绿化服务管理的任何工具和物品迁出航站楼。乙方无论因任何原因而未在上述期限内将上述工具和物品迁出航站楼的，甲方可以自行迁出或组织安排他人迁出乙方所有未迁出的设备设施、工具和其他物品，由此而产生的费用由乙方根据甲方的书面要求立即偿还或在履约保证金内扣除。（c）除了为完成本合同规定或甲方要求的必须完成的后续处理事宜外，乙方应撤离在航站楼内所有的按合同规定的从事服务与管理的员工，并将甲方要求的用于人员及车辆进出机场控制区的通行证件和其他相关资料文件移交给甲方。</w:t>
      </w:r>
    </w:p>
    <w:p>
      <w:pPr>
        <w:pStyle w:val="2"/>
        <w:spacing w:after="0" w:line="360" w:lineRule="auto"/>
        <w:ind w:firstLine="480" w:firstLineChars="200"/>
        <w:rPr>
          <w:rFonts w:ascii="仿宋_GB2312" w:eastAsia="仿宋_GB2312"/>
          <w:sz w:val="24"/>
        </w:rPr>
      </w:pPr>
      <w:r>
        <w:rPr>
          <w:rFonts w:hint="eastAsia" w:ascii="仿宋_GB2312" w:eastAsia="仿宋_GB2312"/>
          <w:sz w:val="24"/>
        </w:rPr>
        <w:t>（3）乙方应在合同期满前一个月内至合同期满后的十个工作日内，无条件地协助甲方帮助新进场的承包服务方了解航站楼各绿化区域和场所的情况，以满足新进场的承包商括其工作人员熟悉甲方的管理与服务的要求，甲方和新进场的承包商均无需为乙方该项行为支付任何费用。</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7.不放弃权利</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甲方对乙方某一违约行为放弃追究权利不视为其对乙方其他违约行为追究权利的放弃。</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8.本合同到期终止，甲乙双方均无任何违约行为，双方之间的费用按合同规定结算。</w:t>
      </w:r>
    </w:p>
    <w:p>
      <w:pPr>
        <w:spacing w:line="360" w:lineRule="auto"/>
        <w:ind w:firstLine="480" w:firstLineChars="200"/>
        <w:rPr>
          <w:rFonts w:ascii="仿宋_GB2312" w:eastAsia="仿宋_GB2312"/>
          <w:color w:val="0000FF"/>
          <w:sz w:val="24"/>
          <w:szCs w:val="24"/>
        </w:rPr>
      </w:pPr>
      <w:r>
        <w:rPr>
          <w:rFonts w:hint="eastAsia" w:ascii="仿宋_GB2312" w:eastAsia="仿宋_GB2312"/>
          <w:sz w:val="24"/>
          <w:szCs w:val="24"/>
        </w:rPr>
        <w:t>9.乙方受到旅客有效投诉或违反本合同条款相关规定构成违约的，应向甲方支付违约金，违约金金额为每次人民币贰仟元整（2000元），如违约金不足以弥补甲方实际损失的，乙方须另行向甲方承担赔偿责任。乙方根本违约的（见本条1（1）2）及4），甲方有权扣除全部履约保证金并追究乙方其他相关责任。</w:t>
      </w:r>
    </w:p>
    <w:p>
      <w:pPr>
        <w:spacing w:line="360" w:lineRule="auto"/>
        <w:rPr>
          <w:rFonts w:ascii="仿宋_GB2312" w:eastAsia="仿宋_GB2312"/>
          <w:b/>
          <w:bCs/>
          <w:sz w:val="24"/>
          <w:szCs w:val="24"/>
        </w:rPr>
      </w:pPr>
    </w:p>
    <w:p>
      <w:pPr>
        <w:spacing w:line="360" w:lineRule="auto"/>
        <w:rPr>
          <w:rFonts w:ascii="仿宋_GB2312" w:eastAsia="仿宋_GB2312"/>
          <w:b/>
          <w:sz w:val="24"/>
          <w:szCs w:val="24"/>
        </w:rPr>
      </w:pPr>
      <w:r>
        <w:rPr>
          <w:rFonts w:hint="eastAsia" w:ascii="仿宋_GB2312" w:eastAsia="仿宋_GB2312"/>
          <w:b/>
          <w:sz w:val="24"/>
          <w:szCs w:val="24"/>
        </w:rPr>
        <w:t>第十二条 修改或变更</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除本合同另有规定外，任何一方需要修改和变更本合同任何条款的，应当书面通知对方，并经双方协商一致，且以书面方式签订补充协议后方可修改或变更。补充协议经双方签署后，即成为本合同的有效组成部分。补充协议约定与本合同约定不一致的，以补充协议为准。</w:t>
      </w:r>
    </w:p>
    <w:p>
      <w:pPr>
        <w:spacing w:line="360" w:lineRule="auto"/>
        <w:rPr>
          <w:rFonts w:ascii="仿宋_GB2312" w:eastAsia="仿宋_GB2312"/>
          <w:b/>
          <w:bCs/>
          <w:sz w:val="24"/>
          <w:szCs w:val="24"/>
        </w:rPr>
      </w:pPr>
    </w:p>
    <w:p>
      <w:pPr>
        <w:spacing w:line="360" w:lineRule="auto"/>
        <w:rPr>
          <w:rFonts w:ascii="仿宋_GB2312" w:eastAsia="仿宋_GB2312"/>
          <w:b/>
          <w:sz w:val="24"/>
          <w:szCs w:val="24"/>
        </w:rPr>
      </w:pPr>
      <w:r>
        <w:rPr>
          <w:rFonts w:hint="eastAsia" w:ascii="仿宋_GB2312" w:eastAsia="仿宋_GB2312"/>
          <w:b/>
          <w:sz w:val="24"/>
          <w:szCs w:val="24"/>
        </w:rPr>
        <w:t>第十一条 纠纷解决方式</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1.因本合同的签订或履行所产生的任何争议，双方可通过友好协商的方式解决。</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2.如双方协商不成，任何一方有权向甲方所在地人民法院诉讼解决。</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3.争议解决期间，不涉及争议内容的本合同的其他条款仍应继续履行。</w:t>
      </w:r>
    </w:p>
    <w:p>
      <w:pPr>
        <w:spacing w:line="360" w:lineRule="auto"/>
        <w:rPr>
          <w:rFonts w:ascii="仿宋_GB2312" w:eastAsia="仿宋_GB2312"/>
          <w:b/>
          <w:bCs/>
          <w:sz w:val="24"/>
          <w:szCs w:val="24"/>
        </w:rPr>
      </w:pPr>
    </w:p>
    <w:p>
      <w:pPr>
        <w:spacing w:line="360" w:lineRule="auto"/>
        <w:rPr>
          <w:rFonts w:ascii="仿宋_GB2312" w:eastAsia="仿宋_GB2312"/>
          <w:b/>
          <w:sz w:val="24"/>
          <w:szCs w:val="24"/>
        </w:rPr>
      </w:pPr>
      <w:r>
        <w:rPr>
          <w:rFonts w:hint="eastAsia" w:ascii="仿宋_GB2312" w:eastAsia="仿宋_GB2312"/>
          <w:b/>
          <w:sz w:val="24"/>
          <w:szCs w:val="24"/>
        </w:rPr>
        <w:t>第十二条 合同份数及生效</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1.本合同自甲乙双方授权代表签字（包含签名章）并加盖公章或者合同章之日起生效，至双方按合同完成各自应履行的义务后终止。本合同所附下列文件是合同构成不可分割的部分，且按照下列顺序解释：</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（1）合同条款</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（2）合同附件</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（3）投标文件</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（4）招标文件</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（5）其他规范性文件</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2.本合同一式陆份，甲方执肆份；乙方执贰份。</w:t>
      </w:r>
    </w:p>
    <w:p>
      <w:pPr>
        <w:spacing w:line="360" w:lineRule="auto"/>
        <w:rPr>
          <w:rFonts w:ascii="仿宋_GB2312" w:eastAsia="仿宋_GB2312"/>
          <w:b/>
          <w:bCs/>
          <w:sz w:val="24"/>
          <w:szCs w:val="24"/>
        </w:rPr>
      </w:pPr>
    </w:p>
    <w:p>
      <w:pPr>
        <w:spacing w:line="360" w:lineRule="auto"/>
        <w:rPr>
          <w:rFonts w:ascii="仿宋_GB2312" w:eastAsia="仿宋_GB2312"/>
          <w:b/>
          <w:sz w:val="24"/>
          <w:szCs w:val="24"/>
        </w:rPr>
      </w:pPr>
      <w:r>
        <w:rPr>
          <w:rFonts w:hint="eastAsia" w:ascii="仿宋_GB2312" w:eastAsia="仿宋_GB2312"/>
          <w:b/>
          <w:sz w:val="24"/>
          <w:szCs w:val="24"/>
        </w:rPr>
        <w:t>第十三条   合同附件</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附件1：航站楼各区域布置摆放植物品种和数量要求清单；</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附件2：航站楼环境景观绿化综合项目管理标准；</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附件3：航站楼环境景观绿化综合项目服务质量考核制度；</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附件4：航站楼绿化租摆技术规范；</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附件5：安全生产协议；</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附件6：杭州萧山国际机场有限公司廉洁自律承诺书；</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附件7：保密承诺书。</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上述附件是本合同的不可分割的组成部分。</w:t>
      </w:r>
    </w:p>
    <w:p>
      <w:pPr>
        <w:rPr>
          <w:rFonts w:ascii="仿宋_GB2312" w:eastAsia="仿宋_GB2312"/>
          <w:sz w:val="24"/>
          <w:szCs w:val="24"/>
        </w:rPr>
      </w:pPr>
      <w:r>
        <w:rPr>
          <w:rFonts w:hint="eastAsia" w:ascii="仿宋_GB2312" w:eastAsia="仿宋_GB2312"/>
          <w:sz w:val="24"/>
          <w:szCs w:val="24"/>
        </w:rPr>
        <w:br w:type="page"/>
      </w:r>
    </w:p>
    <w:p>
      <w:pPr>
        <w:spacing w:line="360" w:lineRule="auto"/>
        <w:rPr>
          <w:rFonts w:ascii="仿宋_GB2312" w:eastAsia="仿宋_GB2312"/>
          <w:bCs/>
          <w:sz w:val="24"/>
          <w:szCs w:val="24"/>
        </w:rPr>
      </w:pPr>
      <w:r>
        <w:rPr>
          <w:rFonts w:hint="eastAsia" w:ascii="仿宋_GB2312" w:eastAsia="仿宋_GB2312"/>
          <w:bCs/>
          <w:sz w:val="24"/>
          <w:szCs w:val="24"/>
        </w:rPr>
        <w:t>附件1：</w:t>
      </w:r>
    </w:p>
    <w:p>
      <w:pPr>
        <w:spacing w:line="360" w:lineRule="auto"/>
        <w:rPr>
          <w:rFonts w:ascii="仿宋_GB2312" w:eastAsia="仿宋_GB2312"/>
          <w:sz w:val="24"/>
          <w:szCs w:val="24"/>
        </w:rPr>
      </w:pPr>
    </w:p>
    <w:p>
      <w:pPr>
        <w:jc w:val="center"/>
        <w:rPr>
          <w:rFonts w:ascii="仿宋_GB2312" w:eastAsia="仿宋_GB2312"/>
          <w:b/>
          <w:bCs/>
          <w:sz w:val="24"/>
          <w:szCs w:val="24"/>
        </w:rPr>
      </w:pPr>
      <w:r>
        <w:rPr>
          <w:rFonts w:hint="eastAsia" w:ascii="仿宋_GB2312" w:eastAsia="仿宋_GB2312"/>
          <w:b/>
          <w:bCs/>
          <w:sz w:val="24"/>
          <w:szCs w:val="24"/>
        </w:rPr>
        <w:t>航站楼各区域布置摆放植物品种和数量要求清单</w:t>
      </w:r>
      <w:r>
        <w:rPr>
          <w:rFonts w:hint="eastAsia" w:ascii="仿宋_GB2312" w:eastAsia="仿宋_GB2312"/>
          <w:b/>
          <w:bCs/>
          <w:sz w:val="24"/>
          <w:szCs w:val="24"/>
        </w:rPr>
        <w:br w:type="page"/>
      </w:r>
    </w:p>
    <w:p>
      <w:pPr>
        <w:spacing w:line="360" w:lineRule="auto"/>
        <w:rPr>
          <w:rFonts w:ascii="仿宋_GB2312" w:eastAsia="仿宋_GB2312"/>
          <w:bCs/>
          <w:sz w:val="24"/>
          <w:szCs w:val="24"/>
        </w:rPr>
      </w:pPr>
      <w:r>
        <w:rPr>
          <w:rFonts w:hint="eastAsia" w:ascii="仿宋_GB2312" w:eastAsia="仿宋_GB2312"/>
          <w:bCs/>
          <w:sz w:val="24"/>
          <w:szCs w:val="24"/>
        </w:rPr>
        <w:t>附件2：</w:t>
      </w:r>
    </w:p>
    <w:p>
      <w:pPr>
        <w:spacing w:line="360" w:lineRule="auto"/>
        <w:ind w:firstLine="482" w:firstLineChars="200"/>
        <w:jc w:val="center"/>
        <w:rPr>
          <w:rFonts w:ascii="仿宋_GB2312" w:eastAsia="仿宋_GB2312"/>
          <w:b/>
          <w:bCs/>
          <w:sz w:val="24"/>
          <w:szCs w:val="24"/>
        </w:rPr>
      </w:pPr>
    </w:p>
    <w:p>
      <w:pPr>
        <w:spacing w:line="360" w:lineRule="auto"/>
        <w:ind w:firstLine="482" w:firstLineChars="200"/>
        <w:jc w:val="center"/>
        <w:rPr>
          <w:rFonts w:ascii="仿宋_GB2312" w:eastAsia="仿宋_GB2312"/>
          <w:b/>
          <w:bCs/>
          <w:sz w:val="24"/>
          <w:szCs w:val="24"/>
        </w:rPr>
      </w:pPr>
      <w:r>
        <w:rPr>
          <w:rFonts w:hint="eastAsia" w:ascii="仿宋_GB2312" w:eastAsia="仿宋_GB2312"/>
          <w:b/>
          <w:bCs/>
          <w:sz w:val="24"/>
          <w:szCs w:val="24"/>
        </w:rPr>
        <w:t>航站楼环境景观绿化综合项目管理标准</w:t>
      </w:r>
    </w:p>
    <w:p>
      <w:pPr>
        <w:spacing w:line="360" w:lineRule="auto"/>
        <w:ind w:firstLine="480" w:firstLineChars="200"/>
        <w:rPr>
          <w:rFonts w:ascii="仿宋_GB2312" w:eastAsia="仿宋_GB2312"/>
          <w:sz w:val="24"/>
          <w:szCs w:val="24"/>
        </w:rPr>
      </w:pPr>
    </w:p>
    <w:p>
      <w:pPr>
        <w:spacing w:line="360" w:lineRule="auto"/>
        <w:ind w:firstLine="482" w:firstLineChars="200"/>
        <w:rPr>
          <w:rFonts w:ascii="仿宋_GB2312" w:eastAsia="仿宋_GB2312"/>
          <w:b/>
          <w:bCs/>
          <w:sz w:val="24"/>
          <w:szCs w:val="24"/>
        </w:rPr>
      </w:pPr>
      <w:r>
        <w:rPr>
          <w:rFonts w:hint="eastAsia" w:ascii="仿宋_GB2312" w:eastAsia="仿宋_GB2312"/>
          <w:b/>
          <w:bCs/>
          <w:sz w:val="24"/>
          <w:szCs w:val="24"/>
        </w:rPr>
        <w:t>一、总则</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1.为加强杭州萧山国际机场航站楼绿化的租摆管理，提升楼内环境品质，根据国家和省、市有关法律、法规，结合本场实际情况，特制订本标准。</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2.本要点适用于杭州萧山国际机场航站楼公共区域和室内外布置的盆栽植物、盆栽花卉。</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3.各类盆花的布置和养护管理，除应按本要点执行外，还应遵守国家、行业及杭州萧山国际机场航站楼有关标准规范的规定。</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4.乙方建立日常巡查制度，巡查人员对租摆服务区域每天巡查三次，内庭院每日巡查一次，发现问题及时整改，并做好相关台账以备甲方检查。建立绿化租摆管理工作台帐，做好工作日报、周报、月报、年报、日常问题整改通知单等甲方要求各类台账，健全租摆档案制度。</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5.乙方的项目经理、工作人员或者派遣人员统一着装，标志明显，管理方式应文明、礼貌，对损坏盆花现象应及时予以制止，遇到严重的破坏行为应及时联系相关部门并上报甲方。</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6.乙方服务质量要求符合《航站楼绿化租摆技术规范》（附件4）等相关文件要求，且达到以下要求：</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（1）植物和花卉的质量要求</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①植物质量要求：盆花（绿色植物）必须是正规渠道货源，造型优美、姿态美观、叶色浓绿、生长健壮、株型茂密、叶面光洁、无脱脚、无枯黄烂叶、无病虫害，且规格符合招标文件的要求。（应避免使用袖珍椰子、夏威夷、龙血树、螺纹铁等易枯黄、易失朝气的植物）</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②花卉质量要求：必须是正规渠道货源，造型优美、姿态美观、花色鲜艳、花型紧凑、叶色浓绿、生长健壮、株型茂密、叶面光洁、无脱脚、无枯黄烂叶、无病虫害，且规格符合招标文件的要求。</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（2）进场验收要求</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①大门口选用树干高大挺拔，树冠规则宽大的罗汉松为主的造型，配以色泽艳丽四季盛开的草本花卉，既体现机场的庄重气派，又不失热烈盛情的迎客之意，给人以良好的第一印象。</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②公共区域宽敞明亮，选用高大茂盛的榕树和叶形舒展的散尾葵为主，配以层次错落的绿色植物，满目的绿色瞬间给人以回归自然的感觉，调节现代建筑的僵硬线条。</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③乙方进入航站楼内前应确保盆花清洁、整齐，整体株型既清新、自然、优美而富有生气。</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（3）植物和花卉套盆要求</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①航站楼布置的花器形状、尺寸、颜色应与植株造型及周围环境相协调，所有植物同一区域必须统一配置同色套盆，高档盆景应配置高档套盆。</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②航站楼所有花器投入使用前，乙方应进行密闭性防水测试，使用后每季度进行防水检测一次。</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③航站楼放置于地毯等软性装饰地面的绿植/花卉，乙方应增加专用美观的隔水毯。</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（4）相关人员作业规范要求</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①乙方摆放作业人员必须保证各种花卉、植物外观整洁、郁郁葱葱（或色泽艳丽），盆内无杂草、杂叶、杂物，植物的套盆必须使用瓷盆和底盆。</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②乙方摆放作业人员应保质保量地完成绿植摆放养护工作，接受甲方监督和管理,服从甲方的工作安排，对于甲方提出的意见、建议及时进行整改。</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③乙方更换人员根据不同季节、节假日和需求情况及时提供、调整各种花卉的品种和布置情况（航站楼当季艳丽花卉不少于每季两种，航站楼各出入口造型和大盆最少一季一调整）。如遇甲方有紧急（会议、布展等）需求时，应及时配合提供相应服务。同时根据甲方实际要求不断改进工作流程或布置方案。</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④乙方保证植物生长良好，各视角长势均衡，在光照充足区域，植物应每半月调整一次方向。如植物坏死，应及时无偿更换。</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⑤乙方摆放、更换作业人员进行日常作业及转移搬运盆花（含花器）时，需配备专用的运输工具，不得占用航站楼行李手推车。</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⑥乙方养护人员进行浇水作业时，应清除花器内及托盘中多余积水，并严格控制浇水量，同时清除花器外侧及地面水渍。</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⑦乙方摆放作业人员需服从甲方管理。</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⑧航站楼所有租摆植物中不得擅自添加标识标牌或使用含广告性质标识的花器。</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⑨乙方在转移搬运周转盆花中不得将盆花（含花器）随意丢弃在航站楼内或航站楼外其他机场范围区域。</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（5）周期性工作规范要求</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①乙方养护作业人员应夏秋季每10天对航站楼内所有盆花底盘投放一次杀虫剂，每月对盆花底部进行杀虫剂喷洒；冬春季每月对航站楼内所有盆花底盘投放一次杀虫剂，每季对盆花底部进行杀虫剂喷洒；每月项目负责人对航站楼内蚊媒传染病传播媒介孳生地盆花底部和底盘进行专项检查。</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②乙方养护作业人员应每季度对楼内所有植物进行一次全面清洗与修剪。</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③乙方应在每日9点前上报《航站楼绿化监管日交接单》和《日常问题落实单》。</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④乙方绿化管理人员每日完成《航站楼重点区域（花钵、绿化景观小品）日常巡视检查单》。</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⑤在重要节假日及公司重大活动期间，乙方应派专人巡查，包括植物的维护及垃圾清除。</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⑥乙方每周一9点前上报航站楼环境景观绿化综合项目一周工作情况，每月上报航站楼盆花更新台账和当月日常考核台账。</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⑦乙方准时参加甲方召开的各类会议。</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⑧乙方航站楼内盆花摆放点位新增或调整需在摆放提前汇报，经甲方同意后方可操作。</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⑨乙方在每年12月1日前提交航站楼环境景观绿化综合项目年度工作报告。</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⑩乙方在每月5日前上报员工人数、年龄、工资、保险等台账。</w:t>
      </w:r>
    </w:p>
    <w:p>
      <w:pPr>
        <w:spacing w:line="360" w:lineRule="auto"/>
        <w:ind w:firstLine="482" w:firstLineChars="200"/>
        <w:rPr>
          <w:rFonts w:ascii="仿宋_GB2312" w:eastAsia="仿宋_GB2312"/>
          <w:b/>
          <w:bCs/>
          <w:sz w:val="24"/>
          <w:szCs w:val="24"/>
        </w:rPr>
      </w:pPr>
      <w:r>
        <w:rPr>
          <w:rFonts w:hint="eastAsia" w:ascii="仿宋_GB2312" w:eastAsia="仿宋_GB2312"/>
          <w:b/>
          <w:bCs/>
          <w:sz w:val="24"/>
          <w:szCs w:val="24"/>
        </w:rPr>
        <w:t>二、乙方盆花摆放布置标准</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1.摆放布置</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（1）乙方根据设计要求、美学原理和现场位置特点等布置，且不与机场功能性设施、旅客流程相冲突。</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（2）盆花的品种、规格和位置、数量应符合甲方或设计方案的要求。</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（3）乙方盆花布置时选用与环境适应、大小协调、生长健康、姿态优美、有较高观赏价值的盆花，对人流交汇处或重要位置进行重点布置，突出布置效果。</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4）乙方应保证盆花内，土壤高度要低于盆内沿1-3cm（小号盆为1cm，大号盆为3cm），盆土裸露较多的应覆盖陶粒、鹅卵石等。所有盆花均配置底盘，且底盘外沿大于花盆底边0.5-3cm(小号盆为0.5cm，大号盆为3cm)。搭配的套盆、底盘要与盆花相协调。</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（5）乙方应保证盆花布置时把握好盆花的观赏面、高低和间距，做到观赏面突出、层次合理、间距适宜。</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（6）乙方盆花的布置应在摆放计划得到甲方确认后3日内内完成，盆花布置后应保持其美观效果。</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（7）花器的形状、大小、颜色应符合租摆植物造型，并与周边环境相协调。</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（8）航站楼所有花器投入使用前，应进行密闭性防水测试，使用后每季度进行防水检测一次。</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（9）航站楼放置于地毯等软性装饰地面的绿植/花卉，应增加专用美观的阻燃隔水毯。</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（10）航站楼所有花堆底部应放置不小于小品尺寸的专用阻燃隔水毯。</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2.修剪</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（1）盆花在修剪后应不影响景观效果，乙方应定期、及时剪除不良状态枝条，确保植株经整形后仍保持美观效果。</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（2）乙方应保证一个区域内同一品种盆花的高度保持一致，及时剪除长势过快的枝条。</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（3）乙方应每季度至少对航站楼内所有租摆植物进行一次修剪。</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3.调换</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（1）盆花在修剪后仍不能满足美观效果时，乙方应及时调换，调换的盆花必须与原盆花同一规格、同一品种，并保持良好的景观效果。</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（2）乙方在甲方开展各类活动时布置用盆花应符合该次活动的主题和要求，不符合要求应及时更换。</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（3）乙方应保证所有盆花无歪斜，无明显积尘，无绑扎物等损坏行为，不符合要求应及时更换。</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（4）乙方的花盆、花钵等装饰应保持完整、清洁、端正、无破损、不符合要求应及时更换。</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（5）时花更换全年至少为六次，每次至少含当季艳丽花卉两种，在每一次更换时必须要将时花品种、数量方案事先上报甲方，由甲方确定后方能实施摆放。</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（6）乙方按甲方要求认真负责地摆放和养护甲方各单位的全部盆花，并根据不同季节和花卉生长情况及时更换，保持所供花卉无病虫害、叶面无尘土，达到新鲜和美观效果。</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（7）当租摆盆花（含花器）无法满足《航站楼绿化租摆技术规范》等相关文件要求时，乙方须保证两个工作日内完成更换，对于甲方需新增加的花卉，乙方应在收到甲方通知的七个工作日内配备到位。</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（8）乙方及时更换失去观赏价值的花卉，在同档次的条件下进行适当调整，以使摆花效果富于变化。</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9）乙方按甲方要求做好服务区域所有盆花及花器的更换（特大型植物每年必须更换1次或以上；超大型、大型植物每年必须更换2次或以上；中型、小型植物每年必须更换3次或以上；花卉类植物每年必须更换6-8次或以上；），所有盆花在质量不符合甲方要求时，必须在24小时之内完成更换。</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4.养护</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（1）乙方应适期、适量对盆花进行养护，包括浇水、施肥、病虫害防治等其他内容，保证其美观效果；杜绝浇水溢出等不利于盆花养护现象。</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（2）乙方及时清除盆花内各类杂草。当采用化学药剂除草时，严格按照规定的比例施用，规范操作，不得对航站楼、旅客等产生不良影响，保障航站楼内没有任何刺激的气味或者异味。</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（3）乙方每日巡回保洁，发现垃圾及时清除，航站楼内重要位置摆放的盆花内垃圾滞留时间不得超过3小时。</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（4）乙方因作业产生的废料应及时清除，并不得随意丢弃，必要时清运处理。</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（5）乙方摆放作业员应每天检查盆花病虫害发生情况，发现病虫害应在2天内治理完毕，并做好病虫害防治工作台帐，保证航站楼楼内植物常年无明显病虫害。</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（6）乙方负责派专业人员每周对本合同约定范围内的所有盆花养护一次，并根据每种绿植的特征进行浇水、施肥、培育、修剪枝杈及防治病虫害，并根据甲方的意见调整绿植的室内摆放位置。</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（7）乙方应保证植物生长良好，各视角长势均衡，在光照充足区域，植物应每半月调整一次方向。如植物坏死，应及时无偿更换。</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5.花堆要求</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T3航站楼绿植墙、T3航站楼琉璃墙前花堆、T3到达夹层花堆单个面积不小于30平米，单个花堆不少于8种，花卉品种不少于5种（至少2种当季艳丽高档花卉），盆花总量不少于400盆且富有层次；其它单个面积不小于15平米，单个景观小品中绿植品种不少于5种，花卉品种不少于3种（至少2种当季艳丽高档花卉），盆花总量不少于150盆，景观小品造型每季度更换一次且富有层次。</w:t>
      </w:r>
    </w:p>
    <w:p>
      <w:pPr>
        <w:spacing w:line="360" w:lineRule="auto"/>
        <w:ind w:firstLine="480" w:firstLineChars="200"/>
        <w:rPr>
          <w:rFonts w:ascii="仿宋_GB2312" w:eastAsia="仿宋_GB2312"/>
          <w:sz w:val="24"/>
          <w:szCs w:val="24"/>
          <w:highlight w:val="yellow"/>
        </w:rPr>
      </w:pPr>
      <w:r>
        <w:rPr>
          <w:rFonts w:hint="eastAsia" w:ascii="仿宋_GB2312" w:eastAsia="仿宋_GB2312"/>
          <w:sz w:val="24"/>
          <w:szCs w:val="24"/>
        </w:rPr>
        <w:t>（2）航站楼重要节假日花堆（除T3航站楼绿植墙、T3航站楼琉璃墙前花堆、T3到达夹层花堆以外）单个面积不小于15平米，花堆绿植品种不少于6种，花卉品种不少于5种（至少2种当季艳丽高档花卉），盆花总量不少于200盆且富有层次。</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6.其他</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（1）所有花堆底部应放置不小于小品大小的防水防尘的专用隔离阻燃地毯。隔离地毯的购买和日常维护工作等均由投标人负责完成。</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（2）乙方需负责甲供花器的维护工作，包括清洁、保养、必要的金属漆油漆粉刷。</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（3）春节绿化布置包含花堆及其他用于营造氛围的绿化布置。</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（4）航站楼内甲方重大活动绿化布置标准参考春节布置标准，具体区域位置以甲方需求为准。</w:t>
      </w:r>
    </w:p>
    <w:p>
      <w:pPr>
        <w:spacing w:line="360" w:lineRule="auto"/>
        <w:ind w:firstLine="480" w:firstLineChars="200"/>
        <w:rPr>
          <w:rFonts w:ascii="仿宋_GB2312" w:eastAsia="仿宋_GB2312"/>
          <w:sz w:val="24"/>
          <w:szCs w:val="24"/>
        </w:rPr>
      </w:pPr>
      <w:r>
        <w:rPr>
          <w:rFonts w:hint="eastAsia" w:ascii="仿宋_GB2312" w:eastAsia="仿宋_GB2312"/>
          <w:sz w:val="24"/>
          <w:szCs w:val="24"/>
        </w:rPr>
        <w:t>（5）高档花卉按照甲方要求提供单盆市场价不低于300元人民币。</w:t>
      </w:r>
    </w:p>
    <w:p/>
    <w:p>
      <w:pPr>
        <w:spacing w:line="360" w:lineRule="auto"/>
        <w:ind w:firstLine="482" w:firstLineChars="200"/>
        <w:jc w:val="left"/>
        <w:rPr>
          <w:rFonts w:ascii="仿宋_GB2312" w:eastAsia="仿宋_GB2312" w:hAnsiTheme="minorHAnsi"/>
          <w:sz w:val="24"/>
          <w:szCs w:val="24"/>
        </w:rPr>
      </w:pPr>
      <w:r>
        <w:rPr>
          <w:rFonts w:hint="eastAsia" w:ascii="仿宋_GB2312" w:eastAsia="仿宋_GB2312"/>
          <w:b/>
          <w:bCs/>
          <w:sz w:val="24"/>
          <w:szCs w:val="24"/>
        </w:rPr>
        <w:t>三、乙方T1内庭院养护工作要求</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1.一月份(小寒、大寒) 本月为全年最冷月份，要注意园林植物的防寒越冬。主要工作：</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（1）在上冻前，对植物进行冬灌，时间选在中午进行。</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（2）根据植物不同习性和不同的观赏要求，对园林树木进行冬季整形修剪。</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（3）下雪天，及时清除树冠上的积雪，防止压折枝条毁坏树形；道路上应加强巡查，防止含杂质和带融雪剂的积雪堆压在花坛和树穴内。</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（4）清除越冬害虫，选择最低气温在0摄氏度以上的晴天，对花草树木及其周围环境全面喷洒一次石硫合剂，杀灭越冬病原和害虫。</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（5）及时清除枯枝落叶及绿地中的杂物、树木上的悬挂物，认真保洁，保持绿地干净卫生。</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（6）对新栽树木和不易越冬的临界植物采取防寒保暖措施，使其能够安全越冬。常用方法有：越冬前灌水、修剪掉尚未木质化的嫩枝嫩梢、树干缠绕草绳、在迎风口搭风障、名贵树种和花木搭建保温棚等。</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2.二月份(立春、雨水) 本月气温仍偏低，继续注意园林植物防寒，避免冻害发生。主要工作：</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1）继续对园林树木进行冬季整形修剪，疏除交叉枝、并列枝、下垂枝、横跨枝、病虫枝及无用的徒长枝等，对超出树冠的过长枝条和留用的徒长枝适当进行中、轻度短截修剪，美化树形、改善树冠内通风透光、减少病虫害发生；月季、紫薇等夏秋季节开花的花灌木，应根据树形树势对所留枝条进行重度短截修剪，一般留至15—20cm（注意剪口芽位置及方向），以利于抽生长势中庸的枝条，增加开花数量，优化花朵质量。</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（2）用石硫合剂对花草树木再次进行普遍喷洒，杀灭遗漏的越冬病原及害虫；注意草履蚧的提前预防，树干缠绕胶带或涂抹毒环阻止幼小若虫上树。</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（3）加强绿地的日常养护管理。如遇干冬，应根据实际情况适时浇水，浇水应选在晴天气温高时的中午进行（11：00—下午2:30），忌严寒时节浇水。</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（4）加强下雪天的巡查，阻止含杂质和带融雪剂的积雪堆积在花坛和树穴内。</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（5）认真进行卫生清扫和日常保洁，保持绿地干净整洁。</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3.三月份(惊蛰、春分) 本月气温开始回升，天气逐渐变暖。主要工作：</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（1）集中精力进行各类苗木补植补栽。</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2）对园林植物开始浇水、施肥。草坪、宿根花卉以及绿篱、模纹等根系分布较浅的植物，根据情况一至两周浇水一次，并结合浇水施1—2次氮肥，促使草坪迅速返青、分蘖、郁闭；树木进行开窝浇水，连浇两遍透水。长势弱的树木可进行根部施肥，也可在叶子长满树时选择阴天或旁晚进行叶背面喷肥（常用根外追肥的肥料有：0.1—0.3%尿素、0.1—0.3%磷酸二氢钾、叶面宝等）</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（3）清除越冬杂草。</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（4）进行病虫害防治，主要有蚜虫、紫薇绒蚧；此时也是各种介壳虫防治的最佳时节，因若虫刚孵化尚未形成蜡壳对药物较敏感，一旦形成介壳很难防治。</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（5）对浇过水的花坛、花带、树穴等及时松土保墒。</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（6）加强日常养护管理，认真做好绿化服务工作。</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4.四月份(清明、谷雨) 本月气温回升，天气明显变暖。主要工作：</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（1）抢抓时机继续进行春季植物补栽，集中整治绿篱断垄、草坪斑秃，并把长势不好、残损苗木进行更换，保证绿化景观。</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（2）根据天气情况对园林植物适时浇水。草坪、地被每周浇水2—3次，乔、灌木浇水1—2次；新植树木要浇好头三水，新栽常绿树木浇水同时应注意叶面喷水，防止树木失水死亡（也忌浇水过多引起根系腐烂）。</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3）认真做好植物修剪工作。草坪修剪2次，留茬高度3—5cm；绿篱、模纹及整形植物新稍刚发，生长量不大，为增强树势，不易过多过重修剪，“五一”节前修剪1次即可，切忌修剪过重出现干茬，不仅削弱树势，而且影响景观。冬季整形修剪过的树木此时要注意抹芽、除萌，对主、侧枝上和剪口处萌发过多的枝芽应根据需要，有选择性的进行去、留，主干上、根茎部萌发的枝、芽应全部去除。</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4）合理施肥。根据植物长势，结合浇水或在阴雨天，适当加施磷钾肥；月季、紫薇等夏季开花的植物此时需肥量稍大，施肥应有所侧重；施肥时应遵照“少量、勤施”的原则，防止肥量大或施肥后浇水不及时而引起“烧苗”现象；新栽植物根系受损，伤口尚未愈合，新根还没长出，一般不进行根部施肥，可根据需要进行树干注射营养液或叶面喷肥。</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5）病虫害防治。本月常见的害虫有：蚜虫、光肩星天牛（危害柳树）、锈色粒肩天牛（危害国槐）、星天牛（危害法桐）、紫薇绒蚧、白蜡绵粉蚧、金叶女贞粉蚧、桃球蚧、斑衣蜡蝉等。所以，本月是防治病虫害的关键时期，特别是蚜虫，寄主植物广泛，繁殖速度快，造成的危害明显，因此发现虫情要及时进行科学防治，防止扩散蔓延。病害防治以预防为主，本月下旬发生的主要病害有黄杨白粉病、紫薇白粉病、月季黑斑病等，应加强防范。</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（6）做好保洁工作，及时彻底清理绿地内的垃圾、废弃物，保证绿地干净整洁。</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5.五月份(立夏、小满) 本月气温继续升高，主要工作：</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（1）要根据天气情况和植物生长状况，适时对园林植物进行浇水。</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（2）对暖季型草坪普遍施一次以磷钾肥为主的复合肥，中下旬以后应停止氮肥的使用，以利于提高草坪抗性，增强暖季型草坪抗病能力。</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（3）认真做好园林植物修剪工作。草坪修剪每周1次，留茬高度3—5㎝；绿篱、模纹及整形植物修剪1—2次，留茬高度应比原高度抬高2—3㎝；主干、根茎部及时抹芽、除萌。</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（4）花坛花带及时松土保墒。</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 xml:space="preserve">（5）加强病虫害防治。除四月份已发生的蚜虫、天牛、紫薇绒蚧、斑衣蜡蝉等害虫继续危害外，地下害虫蛴螬、蜗牛、粉虱、蓟马等害虫开始危害植物；本月中下旬也是红蜘蛛危害盛期，如不及时防治将会造成树木叶片枯黄、脱落。本月发生的主要病害仍然是月季黑斑病，下旬草坪病害也将崭露头角，应轮流交替使用三唑酮、百菌清、甲基托布津等进行科学防治。  </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（6）加强养护管理，及时清除绿地中的各类杂物和杂草。</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 xml:space="preserve"> 6.六月份(芒种、夏至)  本月气温较高，主要工作：</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（1）根据天气情况和植物生长状况适时进行浇水。草坪每周应浇一次透水；本月中下旬结合浇水或在阴雨天，暖季型草坪适量施一次磷钾肥，增强其抗热、抗病能力。</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（2）做好植物修剪工作。及时清除干枝、枯叶和树干、基部的萌芽枝条；草坪修剪3—4次，留茬高度3—5㎝；绿篱、模纹及整形植物修剪1—2次，留茬高度应比原高度抬高2—3㎝。</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3）加强病虫害防治。本月随着气温升高蚜虫危害逐渐减轻，而红蜘蛛、介壳虫危害加重，应注意防治；另外，六月中旬，天牛进入羽化期，老熟幼虫羽化为成虫后，需要食叶补充营养，然后产卵，可以利用这个时机，在树冠上喷洒杀虫剂，杀灭成虫在产卵前。本月月季根癌病也表现出叶片小、发黄等症状，早期发现该病，可挖出植株，切除病根，并用农用链霉素、高锰酸钾溶液浸根。</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（4）加强日常养护管理，及时松土保墒、补栽缺株斑秃、消灭黄土裸露，并进行杂草、杂物清除。</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（5）雨季来临前，对行道树和游人活动场所的树木进行认真排查，及时清理干枯枝和危险树，消除安全隐患。</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7.七月份（小暑、大暑)  本月气温较高，主要工作：</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（1）及时浇水，保证植物正常生长；浇水应避开炎热的中午。</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（2）强化管理，及时松土、除草、保洁。</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（3）适时进行植物修剪。绿篱、模纹、整形植物修剪1—2次，每次修剪也应适当抬高，防止树势衰弱出现干枯枝和加重病虫危害。</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4）加强病虫害防治，主要是红蜘蛛、蚧虫和大、小蓑蛾等，此外还要注意地下害虫蛴螬和夜蛾类害虫的防治；本月高温高湿的气候也是草坪褐斑病、镰刀枯萎病、叶斑病等高发期，同时菌核病、蜗牛等病虫害开始出现，月季根癌病、根结线虫病、叶斑病高发，要注意防治。</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（5）阴雨天草坪薄施一次复合肥，提高草坪抗性。</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（6）注意台风过后排涝，防止积水影响植物生长或造成植物死亡。</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8.八月份(立秋、处暑) 本月持续高温，主要工作：</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 xml:space="preserve">（1）气温高，极易导致干旱，除雨天外应及时给草坪和乔、灌木浇透水，草坪两天一次，浇水应在上午10:00以前，下午3:00以后进行；乔、灌木可根据情况适时进行（已安装自动灌溉系统）。 </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（2）强化管理，及时保洁、松土保墒。</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（3）注重植物修剪。草坪修剪2—3次，留茬高度6—9㎝；绿篱、模纹、整形植物修剪1—2次，留茬高度应比原高度抬高2—3㎝；及时剪除干枝枯叶、残梗败花等。</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（4）做好病虫害防治，本月天气炎热，草坪地下害虫、腐霉枯萎病、菌核病等正处于高发期，月季根癌病、线虫病、叶斑病继续危害，应加强防治；另外，8月份刺蛾处于危害盛期。</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（5）本月杂草严重，应注重拔除。</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（6）继续做好台风天防洪排涝工作。</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9.九月份（白露、秋分)本月气温逐渐下降，主要工作：</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（1）暖季型草坪消灭黄土裸露，同时要加强肥、水管理，尽快使其恢复生长，迅速郁闭成坪。</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（2）继续拔除绿地中的杂草，防止秋后杂草结籽落地，增加来年杂草量。</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（3）加强植物修剪，确保草坪平整边线整齐、模纹美观流畅、绿篱整齐划一、乔灌木树形优美。</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（4）及时更换花坛草花，补栽绿篱缺株。</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（5）做好病虫害防治，随着气温降低，各种病虫害危害逐渐减轻，但仍有少量病虫危害，不容忽视。一些植物新梢上会出现蚜虫；此时，天牛已经孵化，进入树体内危害。</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（6）加强绿地卫生保洁，确保绿地干净整洁。</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10.十月份(寒露、霜降)气温越来越低，本月主要工作：</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（1）及时对花境花带进行松土、除草和杂物清除。</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（2）根据天气情况适时浇水，以免影响植物正常生长。</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（3）做好草坪、绿篱、模纹、整形植物等修剪工作。</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（4）随着气温逐渐降低，大部分病虫危害停止，除蛀干害虫仍然危害外，还有少量蚜虫、蚧虫危害，仍然需要防治。</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（5）加强卫生保洁，及时清除绿地杂物和乔、灌木上的悬挂物。</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11.十一月份(立冬、小雪) 天气变冷，本月主要工作：</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（1）在上冻前，给所有植物进行冬灌。</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（2）对践踏损坏的草坪、树木进行补栽。</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（3）加强日常养护，及时清除杂物、落叶，绿地保持干净整洁。</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（4）根据天气情况，开始对已进入休眠期的植物进行冬季整形修剪。</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（5）有条件的追施一遍腐熟农家肥。</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（6）用石硫盐合剂或白石灰进行树干涂白，利于树木越冬保护和病虫防治。</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七是对园林机械进行维修保养，以备来年使用。</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12.十二月份(大雪、冬至) 本月主要工作：</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（1）冬季气候比较干燥、注意防风防火。</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（2）加强管养，及时清除绿地中的杂物和落叶。</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（3）继续对花灌木和行道树进行整形修剪，美化树形。</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（4）杀灭越冬虫源，降低越冬病虫基数，减轻来年危害程度。</w:t>
      </w:r>
    </w:p>
    <w:p>
      <w:pPr>
        <w:spacing w:line="360" w:lineRule="auto"/>
        <w:ind w:firstLine="480" w:firstLineChars="200"/>
        <w:jc w:val="left"/>
        <w:rPr>
          <w:rFonts w:ascii="仿宋_GB2312" w:eastAsia="仿宋_GB2312"/>
          <w:sz w:val="24"/>
          <w:szCs w:val="24"/>
        </w:rPr>
      </w:pPr>
      <w:r>
        <w:rPr>
          <w:rFonts w:hint="eastAsia" w:ascii="仿宋_GB2312" w:eastAsia="仿宋_GB2312"/>
          <w:sz w:val="24"/>
          <w:szCs w:val="24"/>
        </w:rPr>
        <w:t>（5）加强卫生清扫保洁，确保绿地干净整洁。</w:t>
      </w:r>
    </w:p>
    <w:p>
      <w:pPr>
        <w:spacing w:line="360" w:lineRule="auto"/>
        <w:ind w:firstLine="480" w:firstLineChars="200"/>
        <w:jc w:val="left"/>
        <w:rPr>
          <w:rFonts w:ascii="仿宋_GB2312" w:eastAsia="仿宋_GB2312" w:hAnsiTheme="minorHAnsi"/>
          <w:sz w:val="24"/>
          <w:szCs w:val="24"/>
        </w:rPr>
      </w:pPr>
      <w:r>
        <w:rPr>
          <w:rFonts w:hint="eastAsia" w:ascii="仿宋_GB2312" w:eastAsia="仿宋_GB2312"/>
          <w:sz w:val="24"/>
          <w:szCs w:val="24"/>
        </w:rPr>
        <w:t>（6）做好树木越冬保护。</w:t>
      </w:r>
    </w:p>
    <w:p>
      <w:pPr>
        <w:spacing w:line="360" w:lineRule="auto"/>
        <w:jc w:val="left"/>
        <w:rPr>
          <w:rFonts w:ascii="仿宋_GB2312" w:eastAsia="仿宋_GB2312" w:hAnsiTheme="minorHAnsi"/>
          <w:sz w:val="24"/>
          <w:szCs w:val="24"/>
        </w:rPr>
      </w:pPr>
    </w:p>
    <w:p>
      <w:pPr>
        <w:jc w:val="left"/>
        <w:rPr>
          <w:rFonts w:ascii="仿宋_GB2312" w:eastAsia="仿宋_GB2312" w:hAnsiTheme="minorHAnsi"/>
          <w:sz w:val="24"/>
          <w:szCs w:val="24"/>
        </w:rPr>
      </w:pPr>
      <w:r>
        <w:rPr>
          <w:rFonts w:hint="eastAsia" w:ascii="仿宋_GB2312" w:eastAsia="仿宋_GB2312" w:hAnsiTheme="minorHAnsi"/>
          <w:sz w:val="24"/>
          <w:szCs w:val="24"/>
        </w:rPr>
        <w:br w:type="page"/>
      </w:r>
    </w:p>
    <w:p>
      <w:pPr>
        <w:spacing w:line="360" w:lineRule="auto"/>
        <w:jc w:val="left"/>
        <w:rPr>
          <w:rFonts w:ascii="仿宋_GB2312" w:hAnsi="Times New Roman" w:eastAsia="仿宋_GB2312"/>
          <w:sz w:val="28"/>
          <w:szCs w:val="28"/>
        </w:rPr>
      </w:pPr>
      <w:r>
        <w:rPr>
          <w:rFonts w:hint="eastAsia" w:ascii="仿宋_GB2312" w:eastAsia="仿宋_GB2312" w:hAnsiTheme="minorHAnsi"/>
          <w:sz w:val="24"/>
          <w:szCs w:val="24"/>
        </w:rPr>
        <w:t>附件3：</w:t>
      </w:r>
    </w:p>
    <w:p>
      <w:pPr>
        <w:spacing w:line="360" w:lineRule="auto"/>
        <w:jc w:val="center"/>
        <w:rPr>
          <w:rFonts w:ascii="仿宋_GB2312" w:hAnsi="Times New Roman" w:eastAsia="仿宋_GB2312"/>
          <w:sz w:val="28"/>
          <w:szCs w:val="28"/>
        </w:rPr>
      </w:pPr>
      <w:r>
        <w:rPr>
          <w:rFonts w:hint="eastAsia" w:ascii="仿宋_GB2312" w:eastAsia="仿宋_GB2312" w:hAnsiTheme="minorHAnsi"/>
          <w:b/>
          <w:bCs/>
          <w:sz w:val="24"/>
          <w:szCs w:val="24"/>
        </w:rPr>
        <w:t>航站楼环境景观绿化综合项目服务质量考核制度</w:t>
      </w:r>
    </w:p>
    <w:p>
      <w:pPr>
        <w:spacing w:line="360" w:lineRule="auto"/>
        <w:ind w:firstLine="480" w:firstLineChars="200"/>
        <w:rPr>
          <w:rFonts w:ascii="仿宋_GB2312" w:eastAsia="仿宋_GB2312" w:hAnsiTheme="minorHAnsi"/>
          <w:sz w:val="24"/>
          <w:szCs w:val="24"/>
        </w:rPr>
      </w:pP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为进一步提升杭州萧山机场航站楼环境景观绿化综合项目外包服务服务质量，规范合同管理，杭州萧山国际机场有限公司（以下简称甲方）根据与【】（以下简称乙方）签订</w:t>
      </w:r>
      <w:r>
        <w:rPr>
          <w:rFonts w:hint="eastAsia" w:ascii="仿宋_GB2312" w:eastAsia="仿宋_GB2312"/>
          <w:sz w:val="24"/>
          <w:szCs w:val="24"/>
        </w:rPr>
        <w:t>的</w:t>
      </w:r>
      <w:r>
        <w:rPr>
          <w:rFonts w:hint="eastAsia" w:ascii="仿宋_GB2312" w:eastAsia="仿宋_GB2312" w:hAnsiTheme="minorHAnsi"/>
          <w:sz w:val="24"/>
          <w:szCs w:val="24"/>
        </w:rPr>
        <w:t>航站楼环境景观绿化综合项目合同（下称“环境景观绿化综合项目”）的有关条款，特制定以下航站楼环境景观绿化综合项目服务质量考核制度。</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一、考核内容</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航站楼环境景观绿化综合项目服务质量考核是指甲方根据乙方投标文件中提供的绿化租摆及养护的承诺，对乙方的现场绿化租摆及养护服务质量和公司管理情况进行综合考核，并设定否决性指标。其中：</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1.现场绿化租摆及养护服务质量，是指甲方根据招标文件、合同条款及乙方提供的作业标准、质量要求，结合日常检查和专项检查情况，对乙方所承包的绿化租摆及养护范围进行质量考核。</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2.公司管理情况考核，是指甲方根据招标文件、合同条款以及对乙方提供的航站楼绿化租摆及养护方案与实施计划、人力配置、各项管理制度等对乙方的安全管理情况、行政、管理、培训和人力配置、投诉、事件处理、员工行为及形象管理、机器设备管理情况进行检查和考核。</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3.否决性指标，是指因乙方责任原因，使甲方产生重大安全隐患或发生重大安全事故，造成重大影响的，甲方有权判定乙方本年度考核不合格，同时乙方须承担所造成的一切损失及相关责任。主要为以下几类：</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（1）其所负责的绿化</w:t>
      </w:r>
      <w:r>
        <w:rPr>
          <w:rFonts w:hint="eastAsia" w:ascii="仿宋_GB2312" w:eastAsia="仿宋_GB2312"/>
          <w:sz w:val="24"/>
          <w:szCs w:val="24"/>
        </w:rPr>
        <w:t>服务</w:t>
      </w:r>
      <w:r>
        <w:rPr>
          <w:rFonts w:hint="eastAsia" w:ascii="仿宋_GB2312" w:eastAsia="仿宋_GB2312" w:hAnsiTheme="minorHAnsi"/>
          <w:sz w:val="24"/>
          <w:szCs w:val="24"/>
        </w:rPr>
        <w:t>区域因责任原因发生火灾的；</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（2）因通行证使用不当或因责任原因导致空防安全事故征候的；</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（3）绿化</w:t>
      </w:r>
      <w:r>
        <w:rPr>
          <w:rFonts w:hint="eastAsia" w:ascii="仿宋_GB2312" w:eastAsia="仿宋_GB2312"/>
          <w:sz w:val="24"/>
          <w:szCs w:val="24"/>
        </w:rPr>
        <w:t>服务</w:t>
      </w:r>
      <w:r>
        <w:rPr>
          <w:rFonts w:hint="eastAsia" w:ascii="仿宋_GB2312" w:eastAsia="仿宋_GB2312" w:hAnsiTheme="minorHAnsi"/>
          <w:sz w:val="24"/>
          <w:szCs w:val="24"/>
        </w:rPr>
        <w:t>区域内存放易燃易爆及危险物品隐瞒不报的；</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（4）所负责绿化</w:t>
      </w:r>
      <w:r>
        <w:rPr>
          <w:rFonts w:hint="eastAsia" w:ascii="仿宋_GB2312" w:eastAsia="仿宋_GB2312"/>
          <w:sz w:val="24"/>
          <w:szCs w:val="24"/>
        </w:rPr>
        <w:t>服务</w:t>
      </w:r>
      <w:r>
        <w:rPr>
          <w:rFonts w:hint="eastAsia" w:ascii="仿宋_GB2312" w:eastAsia="仿宋_GB2312" w:hAnsiTheme="minorHAnsi"/>
          <w:sz w:val="24"/>
          <w:szCs w:val="24"/>
        </w:rPr>
        <w:t>区域内因责任原因发生旅客或员工重伤、死亡的。</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4</w:t>
      </w:r>
      <w:r>
        <w:rPr>
          <w:rFonts w:hint="eastAsia" w:ascii="仿宋_GB2312" w:eastAsia="仿宋_GB2312"/>
          <w:sz w:val="24"/>
          <w:szCs w:val="24"/>
        </w:rPr>
        <w:t>.</w:t>
      </w:r>
      <w:r>
        <w:rPr>
          <w:rFonts w:hint="eastAsia" w:ascii="仿宋_GB2312" w:eastAsia="仿宋_GB2312" w:hAnsiTheme="minorHAnsi"/>
          <w:sz w:val="24"/>
          <w:szCs w:val="24"/>
        </w:rPr>
        <w:t>甲方有权提前终止合约：在考核过程中，下列情况之一的，甲方有权终止本合同，并全额扣除履约保证金:</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（1）在本合同有效期限内如连续两个月度考核得分低于85 分（包含 85 分）或在一个自然外包年度内共计有三个的月度考核得分低于 85 分（包含 85 分）。</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（2）发生因乙方责任原因造成的各类治安群体性事件、空防不安全事件、消防及其他不安全事件，事故症候，事故和严重影响航班正常性造成航班业务等情况的，实行一票否决。</w:t>
      </w:r>
    </w:p>
    <w:p>
      <w:pPr>
        <w:spacing w:line="360" w:lineRule="auto"/>
        <w:ind w:firstLine="480" w:firstLineChars="200"/>
        <w:rPr>
          <w:rFonts w:ascii="仿宋_GB2312" w:eastAsia="仿宋_GB2312"/>
          <w:sz w:val="24"/>
          <w:szCs w:val="24"/>
        </w:rPr>
      </w:pPr>
      <w:r>
        <w:rPr>
          <w:rFonts w:hint="eastAsia" w:ascii="仿宋_GB2312" w:eastAsia="仿宋_GB2312" w:hAnsiTheme="minorHAnsi"/>
          <w:sz w:val="24"/>
          <w:szCs w:val="24"/>
        </w:rPr>
        <w:t>二、考核</w:t>
      </w:r>
      <w:r>
        <w:rPr>
          <w:rFonts w:hint="eastAsia" w:ascii="仿宋_GB2312" w:eastAsia="仿宋_GB2312"/>
          <w:sz w:val="24"/>
          <w:szCs w:val="24"/>
        </w:rPr>
        <w:t>形式</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1.月考考核。每月初甲方根据</w:t>
      </w:r>
      <w:r>
        <w:rPr>
          <w:rFonts w:hint="eastAsia" w:ascii="仿宋_GB2312" w:eastAsia="仿宋_GB2312"/>
          <w:sz w:val="24"/>
          <w:szCs w:val="24"/>
        </w:rPr>
        <w:t>《</w:t>
      </w:r>
      <w:r>
        <w:rPr>
          <w:rFonts w:hint="eastAsia" w:ascii="仿宋_GB2312" w:eastAsia="仿宋_GB2312" w:hAnsiTheme="minorHAnsi"/>
          <w:sz w:val="24"/>
          <w:szCs w:val="24"/>
        </w:rPr>
        <w:t>机场公司业务外包项目月度考核表</w:t>
      </w:r>
      <w:r>
        <w:rPr>
          <w:rFonts w:hint="eastAsia" w:ascii="仿宋_GB2312" w:eastAsia="仿宋_GB2312"/>
          <w:sz w:val="24"/>
          <w:szCs w:val="24"/>
        </w:rPr>
        <w:t>》、《机场公司业务外包项目月度考核标准》</w:t>
      </w:r>
      <w:r>
        <w:rPr>
          <w:rFonts w:hint="eastAsia" w:ascii="仿宋_GB2312" w:eastAsia="仿宋_GB2312" w:hAnsiTheme="minorHAnsi"/>
          <w:sz w:val="24"/>
          <w:szCs w:val="24"/>
        </w:rPr>
        <w:t>对乙方上月</w:t>
      </w:r>
      <w:r>
        <w:rPr>
          <w:rFonts w:hint="eastAsia" w:ascii="仿宋_GB2312" w:eastAsia="仿宋_GB2312"/>
          <w:sz w:val="24"/>
          <w:szCs w:val="24"/>
        </w:rPr>
        <w:t>绿化</w:t>
      </w:r>
      <w:r>
        <w:rPr>
          <w:rFonts w:hint="eastAsia" w:ascii="仿宋_GB2312" w:eastAsia="仿宋_GB2312" w:hAnsiTheme="minorHAnsi"/>
          <w:sz w:val="24"/>
          <w:szCs w:val="24"/>
        </w:rPr>
        <w:t>服务质量进行考核，合格为95 分以上（含95 分）。由甲乙双方签字确认。乙方须在每月5日前汇总上月所有需报备的工作台帐，提交甲方。</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2.年度考核。每年1月份对上一年度的</w:t>
      </w:r>
      <w:r>
        <w:rPr>
          <w:rFonts w:hint="eastAsia" w:ascii="仿宋_GB2312" w:eastAsia="仿宋_GB2312"/>
          <w:sz w:val="24"/>
          <w:szCs w:val="24"/>
        </w:rPr>
        <w:t>绿化</w:t>
      </w:r>
      <w:r>
        <w:rPr>
          <w:rFonts w:hint="eastAsia" w:ascii="仿宋_GB2312" w:eastAsia="仿宋_GB2312" w:hAnsiTheme="minorHAnsi"/>
          <w:sz w:val="24"/>
          <w:szCs w:val="24"/>
        </w:rPr>
        <w:t>服务质量进行考核，年度考核分数为该年度内月度考核分数的算术平均数，达到该年度内合格分为合格 ，合格为95 分以上（含95 分）。</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3</w:t>
      </w:r>
      <w:r>
        <w:rPr>
          <w:rFonts w:hint="eastAsia" w:ascii="仿宋_GB2312" w:eastAsia="仿宋_GB2312"/>
          <w:sz w:val="24"/>
          <w:szCs w:val="24"/>
        </w:rPr>
        <w:t>.</w:t>
      </w:r>
      <w:r>
        <w:rPr>
          <w:rFonts w:hint="eastAsia" w:ascii="仿宋_GB2312" w:eastAsia="仿宋_GB2312" w:hAnsiTheme="minorHAnsi"/>
          <w:sz w:val="24"/>
          <w:szCs w:val="24"/>
        </w:rPr>
        <w:t>乙方在服务期内在其服务区域内发生否决性指标所指向的任何情况，甲方即判定乙方当年考核不合格。</w:t>
      </w:r>
    </w:p>
    <w:p>
      <w:pPr>
        <w:spacing w:line="360" w:lineRule="auto"/>
        <w:ind w:firstLine="480" w:firstLineChars="200"/>
        <w:rPr>
          <w:rFonts w:ascii="仿宋_GB2312" w:eastAsia="仿宋_GB2312" w:hAnsiTheme="minorHAnsi"/>
          <w:sz w:val="24"/>
          <w:szCs w:val="24"/>
        </w:rPr>
      </w:pPr>
      <w:r>
        <w:rPr>
          <w:rFonts w:hint="eastAsia" w:ascii="仿宋_GB2312" w:eastAsia="仿宋_GB2312"/>
          <w:sz w:val="24"/>
          <w:szCs w:val="24"/>
        </w:rPr>
        <w:t>三</w:t>
      </w:r>
      <w:r>
        <w:rPr>
          <w:rFonts w:hint="eastAsia" w:ascii="仿宋_GB2312" w:eastAsia="仿宋_GB2312" w:hAnsiTheme="minorHAnsi"/>
          <w:sz w:val="24"/>
          <w:szCs w:val="24"/>
        </w:rPr>
        <w:t>、考核计分及费用结算</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1</w:t>
      </w:r>
      <w:r>
        <w:rPr>
          <w:rFonts w:hint="eastAsia" w:ascii="仿宋_GB2312" w:eastAsia="仿宋_GB2312"/>
          <w:sz w:val="24"/>
          <w:szCs w:val="24"/>
        </w:rPr>
        <w:t>.绿化</w:t>
      </w:r>
      <w:r>
        <w:rPr>
          <w:rFonts w:hint="eastAsia" w:ascii="仿宋_GB2312" w:eastAsia="仿宋_GB2312" w:hAnsiTheme="minorHAnsi"/>
          <w:sz w:val="24"/>
          <w:szCs w:val="24"/>
        </w:rPr>
        <w:t>服务质量考核采取百分制，每月考核得分达到 95 分以上（含95 分），视为考核合格，按合同所规定的付款方式支付给乙方服务费；如考核得分 95 分以下，视为考核不合格，每减少 1 分，扣除上月</w:t>
      </w:r>
      <w:r>
        <w:rPr>
          <w:rFonts w:hint="eastAsia" w:ascii="仿宋_GB2312" w:eastAsia="仿宋_GB2312"/>
          <w:sz w:val="24"/>
          <w:szCs w:val="24"/>
        </w:rPr>
        <w:t>绿化</w:t>
      </w:r>
      <w:r>
        <w:rPr>
          <w:rFonts w:hint="eastAsia" w:ascii="仿宋_GB2312" w:eastAsia="仿宋_GB2312" w:hAnsiTheme="minorHAnsi"/>
          <w:sz w:val="24"/>
          <w:szCs w:val="24"/>
        </w:rPr>
        <w:t>服务费的 1%。</w:t>
      </w:r>
    </w:p>
    <w:p>
      <w:pPr>
        <w:spacing w:line="360" w:lineRule="auto"/>
        <w:ind w:firstLine="480" w:firstLineChars="200"/>
        <w:rPr>
          <w:rFonts w:ascii="仿宋_GB2312" w:eastAsia="仿宋_GB2312" w:hAnsiTheme="minorHAnsi"/>
          <w:sz w:val="24"/>
          <w:szCs w:val="24"/>
        </w:rPr>
      </w:pPr>
      <w:r>
        <w:rPr>
          <w:rFonts w:hint="eastAsia" w:ascii="仿宋_GB2312" w:eastAsia="仿宋_GB2312"/>
          <w:sz w:val="24"/>
          <w:szCs w:val="24"/>
        </w:rPr>
        <w:t>2.</w:t>
      </w:r>
      <w:r>
        <w:rPr>
          <w:rFonts w:hint="eastAsia" w:ascii="仿宋_GB2312" w:eastAsia="仿宋_GB2312" w:hAnsiTheme="minorHAnsi"/>
          <w:sz w:val="24"/>
          <w:szCs w:val="24"/>
        </w:rPr>
        <w:t>对于乙方工作中的优秀表现，甲方有权根据实际情况在总分基础上给予相应的加分。</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3</w:t>
      </w:r>
      <w:r>
        <w:rPr>
          <w:rFonts w:hint="eastAsia" w:ascii="仿宋_GB2312" w:eastAsia="仿宋_GB2312"/>
          <w:sz w:val="24"/>
          <w:szCs w:val="24"/>
        </w:rPr>
        <w:t>.</w:t>
      </w:r>
      <w:r>
        <w:rPr>
          <w:rFonts w:hint="eastAsia" w:ascii="仿宋_GB2312" w:eastAsia="仿宋_GB2312" w:hAnsiTheme="minorHAnsi"/>
          <w:sz w:val="24"/>
          <w:szCs w:val="24"/>
        </w:rPr>
        <w:t>月度</w:t>
      </w:r>
      <w:r>
        <w:rPr>
          <w:rFonts w:hint="eastAsia" w:ascii="仿宋_GB2312" w:eastAsia="仿宋_GB2312"/>
          <w:sz w:val="24"/>
          <w:szCs w:val="24"/>
        </w:rPr>
        <w:t>绿化</w:t>
      </w:r>
      <w:r>
        <w:rPr>
          <w:rFonts w:hint="eastAsia" w:ascii="仿宋_GB2312" w:eastAsia="仿宋_GB2312" w:hAnsiTheme="minorHAnsi"/>
          <w:sz w:val="24"/>
          <w:szCs w:val="24"/>
        </w:rPr>
        <w:t>费用由甲方根据考核情况按相应标准按时支付给乙方。</w:t>
      </w:r>
    </w:p>
    <w:p>
      <w:pPr>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4</w:t>
      </w:r>
      <w:r>
        <w:rPr>
          <w:rFonts w:hint="eastAsia" w:ascii="仿宋_GB2312" w:eastAsia="仿宋_GB2312"/>
          <w:sz w:val="24"/>
          <w:szCs w:val="24"/>
        </w:rPr>
        <w:t>.</w:t>
      </w:r>
      <w:r>
        <w:rPr>
          <w:rFonts w:hint="eastAsia" w:ascii="仿宋_GB2312" w:eastAsia="仿宋_GB2312" w:hAnsiTheme="minorHAnsi"/>
          <w:sz w:val="24"/>
          <w:szCs w:val="24"/>
        </w:rPr>
        <w:t>年度旅客有效投诉超过2 次或者有严重违反甲方规定及严重影响机场方声誉的，扣除月度</w:t>
      </w:r>
      <w:r>
        <w:rPr>
          <w:rFonts w:hint="eastAsia" w:ascii="仿宋_GB2312" w:eastAsia="仿宋_GB2312"/>
          <w:sz w:val="24"/>
          <w:szCs w:val="24"/>
        </w:rPr>
        <w:t>绿化</w:t>
      </w:r>
      <w:r>
        <w:rPr>
          <w:rFonts w:hint="eastAsia" w:ascii="仿宋_GB2312" w:eastAsia="仿宋_GB2312" w:hAnsiTheme="minorHAnsi"/>
          <w:sz w:val="24"/>
          <w:szCs w:val="24"/>
        </w:rPr>
        <w:t>费用的1%。</w:t>
      </w:r>
    </w:p>
    <w:p>
      <w:pPr>
        <w:spacing w:line="360" w:lineRule="auto"/>
        <w:ind w:firstLine="480" w:firstLineChars="200"/>
        <w:rPr>
          <w:rFonts w:ascii="仿宋_GB2312" w:eastAsia="仿宋_GB2312" w:hAnsiTheme="minorHAnsi"/>
          <w:sz w:val="24"/>
          <w:szCs w:val="24"/>
        </w:rPr>
      </w:pPr>
      <w:r>
        <w:rPr>
          <w:rFonts w:hint="eastAsia" w:ascii="仿宋_GB2312" w:eastAsia="仿宋_GB2312"/>
          <w:sz w:val="24"/>
          <w:szCs w:val="24"/>
        </w:rPr>
        <w:t>5.绿化</w:t>
      </w:r>
      <w:r>
        <w:rPr>
          <w:rFonts w:hint="eastAsia" w:ascii="仿宋_GB2312" w:eastAsia="仿宋_GB2312" w:hAnsiTheme="minorHAnsi"/>
          <w:sz w:val="24"/>
          <w:szCs w:val="24"/>
        </w:rPr>
        <w:t>费用的扣除不影响甲方按照合同规定向乙方追究违约责任的权利。</w:t>
      </w:r>
    </w:p>
    <w:p>
      <w:pPr>
        <w:spacing w:line="360" w:lineRule="auto"/>
        <w:ind w:firstLine="480" w:firstLineChars="200"/>
        <w:rPr>
          <w:rFonts w:ascii="仿宋_GB2312" w:eastAsia="仿宋_GB2312" w:hAnsiTheme="minorHAnsi"/>
          <w:sz w:val="24"/>
          <w:szCs w:val="24"/>
        </w:rPr>
      </w:pPr>
      <w:r>
        <w:rPr>
          <w:rFonts w:hint="eastAsia" w:ascii="仿宋_GB2312" w:eastAsia="仿宋_GB2312"/>
          <w:sz w:val="24"/>
          <w:szCs w:val="24"/>
        </w:rPr>
        <w:t>6.</w:t>
      </w:r>
      <w:r>
        <w:rPr>
          <w:rFonts w:hint="eastAsia" w:ascii="仿宋_GB2312" w:eastAsia="仿宋_GB2312" w:hAnsiTheme="minorHAnsi"/>
          <w:sz w:val="24"/>
          <w:szCs w:val="24"/>
        </w:rPr>
        <w:t>该考核制度最终解释权归甲方。</w:t>
      </w:r>
    </w:p>
    <w:p>
      <w:pPr>
        <w:rPr>
          <w:rFonts w:ascii="仿宋_GB2312" w:eastAsia="仿宋_GB2312" w:hAnsiTheme="minorHAnsi"/>
          <w:sz w:val="24"/>
          <w:szCs w:val="24"/>
        </w:rPr>
      </w:pPr>
      <w:r>
        <w:rPr>
          <w:rFonts w:hint="eastAsia" w:ascii="仿宋_GB2312" w:eastAsia="仿宋_GB2312" w:hAnsiTheme="minorHAnsi"/>
          <w:sz w:val="24"/>
          <w:szCs w:val="24"/>
        </w:rPr>
        <w:br w:type="page"/>
      </w:r>
    </w:p>
    <w:p>
      <w:pPr>
        <w:pStyle w:val="771"/>
        <w:spacing w:line="259" w:lineRule="auto"/>
        <w:ind w:left="420" w:right="765" w:firstLine="0" w:firstLineChars="0"/>
        <w:jc w:val="center"/>
        <w:rPr>
          <w:rFonts w:ascii="微软雅黑" w:hAnsi="微软雅黑" w:eastAsia="微软雅黑"/>
          <w:b/>
          <w:sz w:val="36"/>
          <w:szCs w:val="36"/>
        </w:rPr>
      </w:pPr>
      <w:r>
        <w:rPr>
          <w:rFonts w:hint="eastAsia" w:ascii="微软雅黑" w:hAnsi="微软雅黑" w:eastAsia="微软雅黑"/>
          <w:b/>
          <w:sz w:val="36"/>
          <w:szCs w:val="36"/>
        </w:rPr>
        <w:t>机场公司业务外包项目月度考核表</w:t>
      </w:r>
    </w:p>
    <w:p>
      <w:pPr>
        <w:keepNext/>
        <w:keepLines/>
        <w:shd w:val="clear" w:color="auto" w:fill="FFFFFF"/>
        <w:spacing w:line="210" w:lineRule="atLeast"/>
        <w:ind w:firstLine="2160" w:firstLineChars="600"/>
        <w:rPr>
          <w:rFonts w:ascii="Tahoma" w:hAnsi="Tahoma" w:cs="Tahoma"/>
          <w:color w:val="333333"/>
          <w:sz w:val="24"/>
          <w:szCs w:val="45"/>
        </w:rPr>
      </w:pPr>
      <w:r>
        <w:rPr>
          <w:rFonts w:ascii="微软雅黑" w:hAnsi="微软雅黑" w:eastAsia="微软雅黑"/>
          <w:sz w:val="36"/>
          <w:szCs w:val="36"/>
        </w:rPr>
        <mc:AlternateContent>
          <mc:Choice Requires="wps">
            <w:drawing>
              <wp:anchor distT="0" distB="0" distL="114300" distR="114300" simplePos="0" relativeHeight="251664384" behindDoc="0" locked="0" layoutInCell="1" allowOverlap="1">
                <wp:simplePos x="0" y="0"/>
                <wp:positionH relativeFrom="column">
                  <wp:posOffset>647065</wp:posOffset>
                </wp:positionH>
                <wp:positionV relativeFrom="paragraph">
                  <wp:posOffset>-36830</wp:posOffset>
                </wp:positionV>
                <wp:extent cx="4086225"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4086225" cy="0"/>
                        </a:xfrm>
                        <a:prstGeom prst="line">
                          <a:avLst/>
                        </a:prstGeom>
                        <a:ln w="19050" cap="flat" cmpd="sng">
                          <a:solidFill>
                            <a:srgbClr val="000000"/>
                          </a:solidFill>
                          <a:prstDash val="solid"/>
                          <a:miter/>
                          <a:headEnd type="none" w="med" len="med"/>
                          <a:tailEnd type="none" w="med" len="med"/>
                        </a:ln>
                        <a:effectLst/>
                      </wps:spPr>
                      <wps:bodyPr/>
                    </wps:wsp>
                  </a:graphicData>
                </a:graphic>
              </wp:anchor>
            </w:drawing>
          </mc:Choice>
          <mc:Fallback>
            <w:pict>
              <v:line id="_x0000_s1026" o:spid="_x0000_s1026" o:spt="20" style="position:absolute;left:0pt;margin-left:50.95pt;margin-top:-2.9pt;height:0pt;width:321.75pt;z-index:251664384;mso-width-relative:page;mso-height-relative:page;" filled="f" stroked="t" coordsize="21600,21600" o:gfxdata="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k3MbtgAAAAJAQAADwAA&#10;AAAAAAABACAAAAAiAAAAZHJzL2Rvd25yZXYueG1sUEsBAhQAFAAAAAgAh07iQG1SlhjdAQAAowMA&#10;AA4AAAAAAAAAAQAgAAAAJwEAAGRycy9lMm9Eb2MueG1sUEsFBgAAAAAGAAYAWQEAAHYFAAAAAA==&#10;">
                <v:fill on="f" focussize="0,0"/>
                <v:stroke weight="1.5pt" color="#000000" joinstyle="miter"/>
                <v:imagedata o:title=""/>
                <o:lock v:ext="edit" aspectratio="f"/>
              </v:line>
            </w:pict>
          </mc:Fallback>
        </mc:AlternateContent>
      </w:r>
      <w:r>
        <w:rPr>
          <w:rFonts w:hint="eastAsia" w:ascii="Tahoma" w:hAnsi="Tahoma" w:cs="Tahoma"/>
          <w:color w:val="333333"/>
          <w:sz w:val="24"/>
          <w:szCs w:val="45"/>
        </w:rPr>
        <w:t>HIA</w:t>
      </w:r>
      <w:r>
        <w:rPr>
          <w:rFonts w:ascii="Tahoma" w:hAnsi="Tahoma" w:cs="Tahoma"/>
          <w:color w:val="333333"/>
          <w:sz w:val="24"/>
          <w:szCs w:val="45"/>
        </w:rPr>
        <w:t xml:space="preserve"> Outsource Evaluation Form.L1</w:t>
      </w:r>
    </w:p>
    <w:p>
      <w:pPr>
        <w:keepNext/>
        <w:keepLines/>
        <w:shd w:val="clear" w:color="auto" w:fill="FFFFFF"/>
        <w:spacing w:line="210" w:lineRule="atLeast"/>
        <w:rPr>
          <w:rFonts w:ascii="方正小标宋简体" w:eastAsia="方正小标宋简体"/>
          <w:sz w:val="36"/>
          <w:szCs w:val="36"/>
        </w:rPr>
      </w:pPr>
      <w:r>
        <w:rPr>
          <w:rFonts w:hint="eastAsia" w:ascii="Adobe 楷体 Std R" w:hAnsi="Adobe 楷体 Std R" w:eastAsia="Adobe 楷体 Std R"/>
          <w:sz w:val="24"/>
          <w:szCs w:val="32"/>
        </w:rPr>
        <w:t>◆业务项目：</w:t>
      </w:r>
      <w:r>
        <w:rPr>
          <w:rFonts w:hint="eastAsia" w:ascii="Adobe 楷体 Std R" w:hAnsi="Adobe 楷体 Std R" w:eastAsia="Adobe 楷体 Std R"/>
          <w:sz w:val="24"/>
          <w:szCs w:val="32"/>
          <w:u w:val="single"/>
        </w:rPr>
        <w:t xml:space="preserve">        </w:t>
      </w:r>
      <w:r>
        <w:rPr>
          <w:rFonts w:ascii="Adobe 楷体 Std R" w:hAnsi="Adobe 楷体 Std R" w:eastAsia="Adobe 楷体 Std R"/>
          <w:sz w:val="24"/>
          <w:szCs w:val="32"/>
          <w:u w:val="single"/>
        </w:rPr>
        <w:t xml:space="preserve">         </w:t>
      </w:r>
      <w:r>
        <w:rPr>
          <w:rFonts w:hint="eastAsia" w:ascii="Adobe 楷体 Std R" w:hAnsi="Adobe 楷体 Std R" w:eastAsia="Adobe 楷体 Std R"/>
          <w:sz w:val="24"/>
          <w:szCs w:val="32"/>
          <w:u w:val="single"/>
        </w:rPr>
        <w:t xml:space="preserve"> </w:t>
      </w:r>
      <w:r>
        <w:rPr>
          <w:rFonts w:ascii="Adobe 楷体 Std R" w:hAnsi="Adobe 楷体 Std R" w:eastAsia="Adobe 楷体 Std R"/>
          <w:sz w:val="24"/>
          <w:szCs w:val="32"/>
          <w:u w:val="single"/>
        </w:rPr>
        <w:t xml:space="preserve">    </w:t>
      </w:r>
      <w:r>
        <w:rPr>
          <w:rFonts w:ascii="Adobe 楷体 Std R" w:hAnsi="Adobe 楷体 Std R" w:eastAsia="Adobe 楷体 Std R"/>
          <w:sz w:val="24"/>
          <w:szCs w:val="32"/>
        </w:rPr>
        <w:t xml:space="preserve">      </w:t>
      </w:r>
      <w:r>
        <w:rPr>
          <w:rFonts w:hint="eastAsia" w:ascii="Adobe 楷体 Std R" w:hAnsi="Adobe 楷体 Std R" w:eastAsia="Adobe 楷体 Std R"/>
          <w:sz w:val="24"/>
          <w:szCs w:val="32"/>
        </w:rPr>
        <w:t>◆考核时间：</w:t>
      </w:r>
      <w:r>
        <w:rPr>
          <w:rFonts w:hint="eastAsia" w:ascii="Adobe 楷体 Std R" w:hAnsi="Adobe 楷体 Std R" w:eastAsia="Adobe 楷体 Std R"/>
          <w:sz w:val="24"/>
          <w:szCs w:val="32"/>
          <w:u w:val="single"/>
        </w:rPr>
        <w:t xml:space="preserve">   </w:t>
      </w:r>
      <w:r>
        <w:rPr>
          <w:rFonts w:ascii="Adobe 楷体 Std R" w:hAnsi="Adobe 楷体 Std R" w:eastAsia="Adobe 楷体 Std R"/>
          <w:sz w:val="24"/>
          <w:szCs w:val="32"/>
          <w:u w:val="single"/>
        </w:rPr>
        <w:t xml:space="preserve">         </w:t>
      </w:r>
      <w:r>
        <w:rPr>
          <w:rFonts w:hint="eastAsia" w:ascii="Adobe 楷体 Std R" w:hAnsi="Adobe 楷体 Std R" w:eastAsia="Adobe 楷体 Std R"/>
          <w:sz w:val="24"/>
          <w:szCs w:val="32"/>
          <w:u w:val="single"/>
        </w:rPr>
        <w:t xml:space="preserve">  </w:t>
      </w:r>
    </w:p>
    <w:tbl>
      <w:tblPr>
        <w:tblStyle w:val="89"/>
        <w:tblW w:w="9533" w:type="dxa"/>
        <w:jc w:val="center"/>
        <w:tblInd w:w="0"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1208"/>
        <w:gridCol w:w="4087"/>
        <w:gridCol w:w="139"/>
        <w:gridCol w:w="1417"/>
        <w:gridCol w:w="2652"/>
        <w:gridCol w:w="30"/>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1208" w:type="dxa"/>
            <w:shd w:val="clear" w:color="auto" w:fill="B4C6E7"/>
          </w:tcPr>
          <w:p>
            <w:pPr>
              <w:spacing w:line="259" w:lineRule="auto"/>
              <w:ind w:left="2"/>
              <w:jc w:val="center"/>
              <w:rPr>
                <w:rFonts w:ascii="宋体" w:hAnsi="宋体"/>
                <w:b/>
                <w:color w:val="000000"/>
              </w:rPr>
            </w:pPr>
            <w:r>
              <w:rPr>
                <w:rFonts w:hint="eastAsia" w:ascii="宋体" w:hAnsi="宋体"/>
                <w:b/>
                <w:color w:val="000000"/>
              </w:rPr>
              <w:t>章 节</w:t>
            </w:r>
          </w:p>
        </w:tc>
        <w:tc>
          <w:tcPr>
            <w:tcW w:w="4226" w:type="dxa"/>
            <w:gridSpan w:val="2"/>
            <w:shd w:val="clear" w:color="auto" w:fill="B4C6E7"/>
          </w:tcPr>
          <w:p>
            <w:pPr>
              <w:spacing w:line="259" w:lineRule="auto"/>
              <w:jc w:val="center"/>
              <w:rPr>
                <w:rFonts w:ascii="宋体" w:hAnsi="宋体"/>
                <w:b/>
                <w:color w:val="000000"/>
              </w:rPr>
            </w:pPr>
            <w:r>
              <w:rPr>
                <w:rFonts w:hint="eastAsia" w:ascii="宋体" w:hAnsi="宋体" w:cs="微软雅黑"/>
                <w:b/>
                <w:color w:val="000000"/>
              </w:rPr>
              <w:t>性能方面</w:t>
            </w:r>
          </w:p>
        </w:tc>
        <w:tc>
          <w:tcPr>
            <w:tcW w:w="4099" w:type="dxa"/>
            <w:gridSpan w:val="3"/>
            <w:shd w:val="clear" w:color="auto" w:fill="B4C6E7"/>
          </w:tcPr>
          <w:p>
            <w:pPr>
              <w:spacing w:line="259" w:lineRule="auto"/>
              <w:ind w:right="45"/>
              <w:jc w:val="center"/>
              <w:rPr>
                <w:rFonts w:ascii="宋体" w:hAnsi="宋体" w:cs="微软雅黑"/>
                <w:b/>
                <w:color w:val="000000"/>
              </w:rPr>
            </w:pPr>
            <w:r>
              <w:rPr>
                <w:rFonts w:hint="eastAsia" w:ascii="宋体" w:hAnsi="宋体" w:cs="微软雅黑"/>
                <w:b/>
                <w:color w:val="000000"/>
              </w:rPr>
              <w:t>考核</w:t>
            </w:r>
            <w:r>
              <w:rPr>
                <w:rFonts w:ascii="宋体" w:hAnsi="宋体" w:cs="微软雅黑"/>
                <w:b/>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1208" w:type="dxa"/>
            <w:shd w:val="clear" w:color="auto" w:fill="D9E2F3"/>
            <w:vAlign w:val="center"/>
          </w:tcPr>
          <w:p>
            <w:pPr>
              <w:spacing w:line="259" w:lineRule="auto"/>
              <w:jc w:val="center"/>
              <w:rPr>
                <w:rFonts w:ascii="宋体" w:hAnsi="宋体" w:cs="微软雅黑"/>
                <w:b/>
                <w:color w:val="000000"/>
              </w:rPr>
            </w:pPr>
            <w:r>
              <w:rPr>
                <w:rFonts w:hint="eastAsia" w:ascii="宋体" w:hAnsi="宋体" w:cs="微软雅黑"/>
                <w:b/>
                <w:color w:val="000000"/>
              </w:rPr>
              <w:t>第</w:t>
            </w:r>
            <w:r>
              <w:rPr>
                <w:rFonts w:ascii="宋体" w:hAnsi="宋体" w:cs="微软雅黑"/>
                <w:b/>
                <w:color w:val="000000"/>
              </w:rPr>
              <w:t>1</w:t>
            </w:r>
            <w:r>
              <w:rPr>
                <w:rFonts w:hint="eastAsia" w:ascii="宋体" w:hAnsi="宋体" w:cs="微软雅黑"/>
                <w:b/>
                <w:color w:val="000000"/>
              </w:rPr>
              <w:t>节</w:t>
            </w:r>
          </w:p>
        </w:tc>
        <w:tc>
          <w:tcPr>
            <w:tcW w:w="4226" w:type="dxa"/>
            <w:gridSpan w:val="2"/>
            <w:shd w:val="clear" w:color="auto" w:fill="D9E2F3"/>
            <w:vAlign w:val="center"/>
          </w:tcPr>
          <w:p>
            <w:pPr>
              <w:spacing w:line="259" w:lineRule="auto"/>
              <w:ind w:right="30"/>
              <w:jc w:val="center"/>
              <w:rPr>
                <w:rFonts w:ascii="宋体" w:hAnsi="宋体" w:cs="微软雅黑"/>
                <w:b/>
                <w:color w:val="000000"/>
              </w:rPr>
            </w:pPr>
            <w:r>
              <w:rPr>
                <w:rFonts w:hint="eastAsia" w:ascii="宋体" w:hAnsi="宋体" w:cs="微软雅黑"/>
                <w:b/>
                <w:color w:val="000000"/>
              </w:rPr>
              <w:t>否定指标</w:t>
            </w:r>
          </w:p>
        </w:tc>
        <w:tc>
          <w:tcPr>
            <w:tcW w:w="1417" w:type="dxa"/>
            <w:shd w:val="clear" w:color="auto" w:fill="D9E2F3"/>
            <w:vAlign w:val="center"/>
          </w:tcPr>
          <w:p>
            <w:pPr>
              <w:spacing w:line="259" w:lineRule="auto"/>
              <w:ind w:right="45"/>
              <w:jc w:val="center"/>
              <w:rPr>
                <w:rFonts w:ascii="宋体" w:hAnsi="宋体" w:cs="微软雅黑"/>
                <w:b/>
                <w:color w:val="000000"/>
              </w:rPr>
            </w:pPr>
            <w:r>
              <w:rPr>
                <w:rFonts w:hint="eastAsia" w:ascii="宋体" w:hAnsi="宋体" w:cs="微软雅黑"/>
                <w:b/>
                <w:color w:val="000000"/>
              </w:rPr>
              <w:t>“有发生”打“√”</w:t>
            </w:r>
          </w:p>
        </w:tc>
        <w:tc>
          <w:tcPr>
            <w:tcW w:w="2682" w:type="dxa"/>
            <w:gridSpan w:val="2"/>
            <w:shd w:val="clear" w:color="auto" w:fill="D9E2F3"/>
          </w:tcPr>
          <w:p>
            <w:pPr>
              <w:spacing w:line="259" w:lineRule="auto"/>
              <w:ind w:right="45"/>
              <w:jc w:val="center"/>
              <w:rPr>
                <w:rFonts w:ascii="宋体" w:hAnsi="宋体" w:cs="微软雅黑"/>
                <w:b/>
                <w:color w:val="000000"/>
              </w:rPr>
            </w:pPr>
            <w:r>
              <w:rPr>
                <w:rFonts w:hint="eastAsia" w:ascii="宋体" w:hAnsi="宋体" w:cs="微软雅黑"/>
                <w:b/>
                <w:color w:val="000000"/>
              </w:rPr>
              <w:t>处理结果</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1208" w:type="dxa"/>
            <w:tcBorders>
              <w:bottom w:val="single" w:color="auto" w:sz="4" w:space="0"/>
            </w:tcBorders>
            <w:shd w:val="clear" w:color="auto" w:fill="auto"/>
            <w:vAlign w:val="center"/>
          </w:tcPr>
          <w:p>
            <w:pPr>
              <w:spacing w:after="1" w:line="252" w:lineRule="auto"/>
              <w:jc w:val="center"/>
              <w:rPr>
                <w:rFonts w:ascii="宋体" w:hAnsi="宋体"/>
                <w:color w:val="000000"/>
              </w:rPr>
            </w:pPr>
            <w:r>
              <w:rPr>
                <w:rFonts w:ascii="宋体" w:hAnsi="宋体"/>
                <w:color w:val="000000"/>
              </w:rPr>
              <w:t>1.1</w:t>
            </w:r>
          </w:p>
        </w:tc>
        <w:tc>
          <w:tcPr>
            <w:tcW w:w="4226" w:type="dxa"/>
            <w:gridSpan w:val="2"/>
            <w:shd w:val="clear" w:color="auto" w:fill="auto"/>
            <w:vAlign w:val="center"/>
          </w:tcPr>
          <w:p>
            <w:pPr>
              <w:spacing w:line="259" w:lineRule="auto"/>
              <w:jc w:val="left"/>
              <w:rPr>
                <w:rFonts w:ascii="宋体" w:hAnsi="宋体"/>
                <w:color w:val="000000"/>
              </w:rPr>
            </w:pPr>
            <w:r>
              <w:rPr>
                <w:rFonts w:hint="eastAsia" w:ascii="宋体" w:hAnsi="宋体"/>
                <w:color w:val="000000"/>
              </w:rPr>
              <w:t>责任原因造成的恐怖事件、生产安全事故、消防安全事故等重大事件，给甲方造成损失</w:t>
            </w:r>
          </w:p>
        </w:tc>
        <w:tc>
          <w:tcPr>
            <w:tcW w:w="1417" w:type="dxa"/>
            <w:shd w:val="clear" w:color="auto" w:fill="auto"/>
            <w:vAlign w:val="center"/>
          </w:tcPr>
          <w:p>
            <w:pPr>
              <w:spacing w:line="259" w:lineRule="auto"/>
              <w:ind w:left="2"/>
              <w:jc w:val="center"/>
              <w:rPr>
                <w:rFonts w:ascii="宋体" w:hAnsi="宋体"/>
                <w:color w:val="000000"/>
              </w:rPr>
            </w:pPr>
          </w:p>
        </w:tc>
        <w:tc>
          <w:tcPr>
            <w:tcW w:w="2682" w:type="dxa"/>
            <w:gridSpan w:val="2"/>
            <w:vMerge w:val="restart"/>
            <w:shd w:val="clear" w:color="auto" w:fill="auto"/>
            <w:vAlign w:val="center"/>
          </w:tcPr>
          <w:p>
            <w:pPr>
              <w:spacing w:line="259" w:lineRule="auto"/>
              <w:ind w:right="45"/>
              <w:jc w:val="center"/>
              <w:rPr>
                <w:rFonts w:ascii="宋体" w:hAnsi="宋体"/>
                <w:color w:val="000000"/>
              </w:rPr>
            </w:pPr>
            <w:r>
              <w:rPr>
                <w:rFonts w:hint="eastAsia" w:ascii="宋体" w:hAnsi="宋体" w:cs="微软雅黑"/>
                <w:b/>
                <w:color w:val="000000"/>
              </w:rPr>
              <w:t>否定指标，本月考核成绩为0，若为重特大事件甲方有权解除合同</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1208" w:type="dxa"/>
            <w:tcBorders>
              <w:bottom w:val="single" w:color="auto" w:sz="4" w:space="0"/>
            </w:tcBorders>
            <w:shd w:val="clear" w:color="auto" w:fill="auto"/>
            <w:vAlign w:val="center"/>
          </w:tcPr>
          <w:p>
            <w:pPr>
              <w:spacing w:after="1" w:line="252" w:lineRule="auto"/>
              <w:jc w:val="center"/>
              <w:rPr>
                <w:rFonts w:ascii="宋体" w:hAnsi="宋体"/>
                <w:color w:val="000000"/>
              </w:rPr>
            </w:pPr>
            <w:r>
              <w:rPr>
                <w:rFonts w:hint="eastAsia" w:ascii="宋体" w:hAnsi="宋体"/>
                <w:color w:val="000000"/>
              </w:rPr>
              <w:t>1.1.1</w:t>
            </w:r>
          </w:p>
        </w:tc>
        <w:tc>
          <w:tcPr>
            <w:tcW w:w="4226" w:type="dxa"/>
            <w:gridSpan w:val="2"/>
            <w:shd w:val="clear" w:color="auto" w:fill="auto"/>
            <w:vAlign w:val="center"/>
          </w:tcPr>
          <w:p>
            <w:pPr>
              <w:spacing w:line="259" w:lineRule="auto"/>
              <w:jc w:val="left"/>
              <w:rPr>
                <w:rFonts w:ascii="宋体" w:hAnsi="宋体"/>
              </w:rPr>
            </w:pPr>
            <w:r>
              <w:rPr>
                <w:rFonts w:hint="eastAsia" w:ascii="宋体" w:hAnsi="宋体"/>
              </w:rPr>
              <w:t>所负责任区域内因责任原因发生旅客或员工重伤、死亡</w:t>
            </w:r>
          </w:p>
        </w:tc>
        <w:tc>
          <w:tcPr>
            <w:tcW w:w="1417" w:type="dxa"/>
            <w:shd w:val="clear" w:color="auto" w:fill="auto"/>
            <w:vAlign w:val="center"/>
          </w:tcPr>
          <w:p>
            <w:pPr>
              <w:spacing w:line="259" w:lineRule="auto"/>
              <w:ind w:left="2"/>
              <w:jc w:val="center"/>
              <w:rPr>
                <w:rFonts w:ascii="宋体" w:hAnsi="宋体"/>
                <w:color w:val="000000"/>
              </w:rPr>
            </w:pPr>
          </w:p>
        </w:tc>
        <w:tc>
          <w:tcPr>
            <w:tcW w:w="2682" w:type="dxa"/>
            <w:gridSpan w:val="2"/>
            <w:vMerge w:val="continue"/>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1208" w:type="dxa"/>
            <w:tcBorders>
              <w:bottom w:val="single" w:color="auto" w:sz="4" w:space="0"/>
            </w:tcBorders>
            <w:shd w:val="clear" w:color="auto" w:fill="auto"/>
            <w:vAlign w:val="center"/>
          </w:tcPr>
          <w:p>
            <w:pPr>
              <w:spacing w:after="1" w:line="252" w:lineRule="auto"/>
              <w:jc w:val="center"/>
              <w:rPr>
                <w:rFonts w:ascii="宋体" w:hAnsi="宋体"/>
                <w:color w:val="000000"/>
              </w:rPr>
            </w:pPr>
            <w:r>
              <w:rPr>
                <w:rFonts w:ascii="宋体" w:hAnsi="宋体"/>
                <w:color w:val="000000"/>
              </w:rPr>
              <w:t>1.1</w:t>
            </w:r>
            <w:r>
              <w:rPr>
                <w:rFonts w:hint="eastAsia" w:ascii="宋体" w:hAnsi="宋体"/>
                <w:color w:val="000000"/>
              </w:rPr>
              <w:t>.2</w:t>
            </w:r>
          </w:p>
        </w:tc>
        <w:tc>
          <w:tcPr>
            <w:tcW w:w="4226" w:type="dxa"/>
            <w:gridSpan w:val="2"/>
            <w:shd w:val="clear" w:color="auto" w:fill="auto"/>
            <w:vAlign w:val="center"/>
          </w:tcPr>
          <w:p>
            <w:pPr>
              <w:spacing w:line="259" w:lineRule="auto"/>
              <w:jc w:val="left"/>
              <w:rPr>
                <w:rFonts w:ascii="宋体" w:hAnsi="宋体"/>
              </w:rPr>
            </w:pPr>
            <w:r>
              <w:rPr>
                <w:rFonts w:hint="eastAsia" w:ascii="宋体" w:hAnsi="宋体"/>
              </w:rPr>
              <w:t>所负责任区域内因责任原因发生火灾</w:t>
            </w:r>
          </w:p>
        </w:tc>
        <w:tc>
          <w:tcPr>
            <w:tcW w:w="1417" w:type="dxa"/>
            <w:shd w:val="clear" w:color="auto" w:fill="auto"/>
            <w:vAlign w:val="center"/>
          </w:tcPr>
          <w:p>
            <w:pPr>
              <w:spacing w:line="259" w:lineRule="auto"/>
              <w:ind w:left="2"/>
              <w:jc w:val="center"/>
              <w:rPr>
                <w:rFonts w:ascii="宋体" w:hAnsi="宋体"/>
                <w:color w:val="000000"/>
              </w:rPr>
            </w:pPr>
          </w:p>
        </w:tc>
        <w:tc>
          <w:tcPr>
            <w:tcW w:w="2682" w:type="dxa"/>
            <w:gridSpan w:val="2"/>
            <w:vMerge w:val="continue"/>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1208" w:type="dxa"/>
            <w:tcBorders>
              <w:top w:val="single" w:color="auto" w:sz="4" w:space="0"/>
              <w:bottom w:val="single" w:color="auto" w:sz="4" w:space="0"/>
            </w:tcBorders>
            <w:shd w:val="clear" w:color="auto" w:fill="auto"/>
            <w:vAlign w:val="center"/>
          </w:tcPr>
          <w:p>
            <w:pPr>
              <w:spacing w:after="1" w:line="252" w:lineRule="auto"/>
              <w:jc w:val="center"/>
              <w:rPr>
                <w:rFonts w:ascii="宋体" w:hAnsi="宋体"/>
                <w:color w:val="000000"/>
              </w:rPr>
            </w:pPr>
            <w:r>
              <w:rPr>
                <w:rFonts w:ascii="宋体" w:hAnsi="宋体"/>
                <w:color w:val="000000"/>
              </w:rPr>
              <w:t>1.2</w:t>
            </w:r>
          </w:p>
        </w:tc>
        <w:tc>
          <w:tcPr>
            <w:tcW w:w="4226" w:type="dxa"/>
            <w:gridSpan w:val="2"/>
            <w:shd w:val="clear" w:color="auto" w:fill="auto"/>
            <w:vAlign w:val="center"/>
          </w:tcPr>
          <w:p>
            <w:pPr>
              <w:spacing w:line="259" w:lineRule="auto"/>
              <w:jc w:val="left"/>
              <w:rPr>
                <w:rFonts w:ascii="宋体" w:hAnsi="宋体"/>
              </w:rPr>
            </w:pPr>
            <w:r>
              <w:rPr>
                <w:rFonts w:hint="eastAsia" w:ascii="宋体" w:hAnsi="宋体"/>
              </w:rPr>
              <w:t>责任原因造成各类不安全事件，事故症候等影响机场形象及造成甲方损失</w:t>
            </w:r>
          </w:p>
        </w:tc>
        <w:tc>
          <w:tcPr>
            <w:tcW w:w="1417" w:type="dxa"/>
            <w:shd w:val="clear" w:color="auto" w:fill="auto"/>
            <w:vAlign w:val="center"/>
          </w:tcPr>
          <w:p>
            <w:pPr>
              <w:spacing w:line="259" w:lineRule="auto"/>
              <w:jc w:val="center"/>
              <w:rPr>
                <w:rFonts w:ascii="宋体" w:hAnsi="宋体"/>
                <w:color w:val="000000"/>
              </w:rPr>
            </w:pPr>
          </w:p>
        </w:tc>
        <w:tc>
          <w:tcPr>
            <w:tcW w:w="2682" w:type="dxa"/>
            <w:gridSpan w:val="2"/>
            <w:vMerge w:val="continue"/>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1208" w:type="dxa"/>
            <w:tcBorders>
              <w:top w:val="single" w:color="auto" w:sz="4" w:space="0"/>
              <w:bottom w:val="single" w:color="auto" w:sz="4" w:space="0"/>
            </w:tcBorders>
            <w:shd w:val="clear" w:color="auto" w:fill="auto"/>
            <w:vAlign w:val="center"/>
          </w:tcPr>
          <w:p>
            <w:pPr>
              <w:spacing w:after="1" w:line="252" w:lineRule="auto"/>
              <w:jc w:val="center"/>
              <w:rPr>
                <w:rFonts w:ascii="宋体" w:hAnsi="宋体"/>
                <w:color w:val="000000"/>
              </w:rPr>
            </w:pPr>
            <w:r>
              <w:rPr>
                <w:rFonts w:hint="eastAsia" w:ascii="宋体" w:hAnsi="宋体"/>
                <w:color w:val="000000"/>
              </w:rPr>
              <w:t>1.2.1</w:t>
            </w:r>
          </w:p>
        </w:tc>
        <w:tc>
          <w:tcPr>
            <w:tcW w:w="4226" w:type="dxa"/>
            <w:gridSpan w:val="2"/>
            <w:shd w:val="clear" w:color="auto" w:fill="auto"/>
            <w:vAlign w:val="center"/>
          </w:tcPr>
          <w:p>
            <w:pPr>
              <w:spacing w:line="259" w:lineRule="auto"/>
              <w:jc w:val="left"/>
              <w:rPr>
                <w:rFonts w:ascii="宋体" w:hAnsi="宋体"/>
              </w:rPr>
            </w:pPr>
            <w:r>
              <w:rPr>
                <w:rFonts w:hint="eastAsia" w:ascii="宋体" w:hAnsi="宋体"/>
              </w:rPr>
              <w:t>因其责任原因导致通行证遗失等造成空防事故隐患的</w:t>
            </w:r>
          </w:p>
        </w:tc>
        <w:tc>
          <w:tcPr>
            <w:tcW w:w="1417" w:type="dxa"/>
            <w:shd w:val="clear" w:color="auto" w:fill="auto"/>
            <w:vAlign w:val="center"/>
          </w:tcPr>
          <w:p>
            <w:pPr>
              <w:spacing w:line="259" w:lineRule="auto"/>
              <w:jc w:val="center"/>
              <w:rPr>
                <w:rFonts w:ascii="宋体" w:hAnsi="宋体"/>
                <w:color w:val="000000"/>
              </w:rPr>
            </w:pPr>
          </w:p>
        </w:tc>
        <w:tc>
          <w:tcPr>
            <w:tcW w:w="2682" w:type="dxa"/>
            <w:gridSpan w:val="2"/>
            <w:vMerge w:val="continue"/>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1208" w:type="dxa"/>
            <w:tcBorders>
              <w:top w:val="single" w:color="auto" w:sz="4" w:space="0"/>
              <w:bottom w:val="single" w:color="auto" w:sz="4" w:space="0"/>
            </w:tcBorders>
            <w:shd w:val="clear" w:color="auto" w:fill="auto"/>
            <w:vAlign w:val="center"/>
          </w:tcPr>
          <w:p>
            <w:pPr>
              <w:spacing w:after="1" w:line="252" w:lineRule="auto"/>
              <w:jc w:val="center"/>
              <w:rPr>
                <w:rFonts w:ascii="宋体" w:hAnsi="宋体"/>
                <w:color w:val="000000"/>
              </w:rPr>
            </w:pPr>
            <w:r>
              <w:rPr>
                <w:rFonts w:ascii="宋体" w:hAnsi="宋体"/>
                <w:color w:val="000000"/>
              </w:rPr>
              <w:t>1.3</w:t>
            </w:r>
          </w:p>
        </w:tc>
        <w:tc>
          <w:tcPr>
            <w:tcW w:w="4226" w:type="dxa"/>
            <w:gridSpan w:val="2"/>
            <w:shd w:val="clear" w:color="auto" w:fill="auto"/>
            <w:vAlign w:val="center"/>
          </w:tcPr>
          <w:p>
            <w:pPr>
              <w:spacing w:line="259" w:lineRule="auto"/>
              <w:jc w:val="left"/>
              <w:rPr>
                <w:rFonts w:ascii="宋体" w:hAnsi="宋体"/>
                <w:color w:val="000000"/>
              </w:rPr>
            </w:pPr>
            <w:r>
              <w:rPr>
                <w:rFonts w:hint="eastAsia" w:ascii="宋体" w:hAnsi="宋体"/>
                <w:color w:val="000000"/>
              </w:rPr>
              <w:t>恶劣事件</w:t>
            </w:r>
          </w:p>
        </w:tc>
        <w:tc>
          <w:tcPr>
            <w:tcW w:w="1417" w:type="dxa"/>
            <w:shd w:val="clear" w:color="auto" w:fill="auto"/>
            <w:vAlign w:val="center"/>
          </w:tcPr>
          <w:p>
            <w:pPr>
              <w:spacing w:line="259" w:lineRule="auto"/>
              <w:jc w:val="center"/>
              <w:rPr>
                <w:rFonts w:ascii="宋体" w:hAnsi="宋体"/>
                <w:color w:val="000000"/>
              </w:rPr>
            </w:pPr>
          </w:p>
        </w:tc>
        <w:tc>
          <w:tcPr>
            <w:tcW w:w="2682" w:type="dxa"/>
            <w:gridSpan w:val="2"/>
            <w:vMerge w:val="continue"/>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1208" w:type="dxa"/>
            <w:tcBorders>
              <w:top w:val="single" w:color="auto" w:sz="4" w:space="0"/>
            </w:tcBorders>
            <w:shd w:val="clear" w:color="auto" w:fill="auto"/>
            <w:vAlign w:val="center"/>
          </w:tcPr>
          <w:p>
            <w:pPr>
              <w:spacing w:line="252" w:lineRule="auto"/>
              <w:ind w:left="970" w:hanging="970"/>
              <w:jc w:val="center"/>
              <w:rPr>
                <w:rFonts w:ascii="宋体" w:hAnsi="宋体"/>
                <w:color w:val="000000"/>
              </w:rPr>
            </w:pPr>
            <w:r>
              <w:rPr>
                <w:rFonts w:ascii="宋体" w:hAnsi="宋体"/>
                <w:color w:val="000000"/>
              </w:rPr>
              <w:t>1.4</w:t>
            </w:r>
          </w:p>
        </w:tc>
        <w:tc>
          <w:tcPr>
            <w:tcW w:w="4226" w:type="dxa"/>
            <w:gridSpan w:val="2"/>
            <w:shd w:val="clear" w:color="auto" w:fill="auto"/>
            <w:vAlign w:val="center"/>
          </w:tcPr>
          <w:p>
            <w:pPr>
              <w:spacing w:line="259" w:lineRule="auto"/>
              <w:jc w:val="left"/>
              <w:rPr>
                <w:rFonts w:ascii="宋体" w:hAnsi="宋体"/>
                <w:color w:val="000000"/>
              </w:rPr>
            </w:pPr>
            <w:r>
              <w:rPr>
                <w:rFonts w:hint="eastAsia" w:ascii="宋体" w:hAnsi="宋体"/>
                <w:color w:val="000000"/>
              </w:rPr>
              <w:t>公司行为被查处的违法违纪事件</w:t>
            </w:r>
          </w:p>
        </w:tc>
        <w:tc>
          <w:tcPr>
            <w:tcW w:w="1417" w:type="dxa"/>
            <w:shd w:val="clear" w:color="auto" w:fill="auto"/>
            <w:vAlign w:val="center"/>
          </w:tcPr>
          <w:p>
            <w:pPr>
              <w:spacing w:line="259" w:lineRule="auto"/>
              <w:jc w:val="center"/>
              <w:rPr>
                <w:rFonts w:ascii="宋体" w:hAnsi="宋体"/>
                <w:color w:val="000000"/>
              </w:rPr>
            </w:pPr>
          </w:p>
        </w:tc>
        <w:tc>
          <w:tcPr>
            <w:tcW w:w="2682" w:type="dxa"/>
            <w:gridSpan w:val="2"/>
            <w:vMerge w:val="continue"/>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1208" w:type="dxa"/>
            <w:tcBorders>
              <w:top w:val="single" w:color="auto" w:sz="4" w:space="0"/>
            </w:tcBorders>
            <w:shd w:val="clear" w:color="auto" w:fill="auto"/>
            <w:vAlign w:val="center"/>
          </w:tcPr>
          <w:p>
            <w:pPr>
              <w:spacing w:line="252" w:lineRule="auto"/>
              <w:ind w:left="970" w:hanging="970"/>
              <w:jc w:val="center"/>
              <w:rPr>
                <w:rFonts w:ascii="宋体" w:hAnsi="宋体"/>
                <w:color w:val="000000"/>
              </w:rPr>
            </w:pPr>
            <w:r>
              <w:rPr>
                <w:rFonts w:hint="eastAsia" w:ascii="宋体" w:hAnsi="宋体"/>
                <w:color w:val="000000"/>
              </w:rPr>
              <w:t>1.5</w:t>
            </w:r>
          </w:p>
        </w:tc>
        <w:tc>
          <w:tcPr>
            <w:tcW w:w="4226" w:type="dxa"/>
            <w:gridSpan w:val="2"/>
            <w:shd w:val="clear" w:color="auto" w:fill="auto"/>
            <w:vAlign w:val="center"/>
          </w:tcPr>
          <w:p>
            <w:pPr>
              <w:spacing w:line="259" w:lineRule="auto"/>
              <w:jc w:val="left"/>
              <w:rPr>
                <w:rFonts w:ascii="宋体" w:hAnsi="宋体"/>
                <w:color w:val="000000"/>
              </w:rPr>
            </w:pPr>
            <w:r>
              <w:rPr>
                <w:rFonts w:hint="eastAsia" w:ascii="宋体" w:hAnsi="宋体"/>
                <w:color w:val="000000"/>
                <w:shd w:val="clear" w:color="auto" w:fill="FFFFFF" w:themeFill="background1"/>
              </w:rPr>
              <w:t>连续两个月考评在85分以下</w:t>
            </w:r>
          </w:p>
        </w:tc>
        <w:tc>
          <w:tcPr>
            <w:tcW w:w="1417" w:type="dxa"/>
            <w:shd w:val="clear" w:color="auto" w:fill="auto"/>
            <w:vAlign w:val="center"/>
          </w:tcPr>
          <w:p>
            <w:pPr>
              <w:spacing w:line="259" w:lineRule="auto"/>
              <w:jc w:val="center"/>
              <w:rPr>
                <w:rFonts w:ascii="宋体" w:hAnsi="宋体"/>
                <w:color w:val="000000"/>
              </w:rPr>
            </w:pPr>
          </w:p>
        </w:tc>
        <w:tc>
          <w:tcPr>
            <w:tcW w:w="2682" w:type="dxa"/>
            <w:gridSpan w:val="2"/>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98" w:hRule="atLeast"/>
          <w:jc w:val="center"/>
        </w:trPr>
        <w:tc>
          <w:tcPr>
            <w:tcW w:w="9533" w:type="dxa"/>
            <w:gridSpan w:val="6"/>
            <w:shd w:val="clear" w:color="auto" w:fill="auto"/>
          </w:tcPr>
          <w:p>
            <w:pPr>
              <w:spacing w:line="259" w:lineRule="auto"/>
              <w:jc w:val="left"/>
              <w:rPr>
                <w:rFonts w:ascii="宋体" w:hAnsi="宋体"/>
                <w:color w:val="000000"/>
              </w:rPr>
            </w:pPr>
            <w:r>
              <w:rPr>
                <w:rFonts w:ascii="宋体" w:hAnsi="宋体" w:cs="微软雅黑"/>
                <w:b/>
                <w:color w:val="000000"/>
              </w:rPr>
              <w:t xml:space="preserve"> </w:t>
            </w:r>
            <w:r>
              <w:rPr>
                <w:rFonts w:hint="eastAsia" w:ascii="宋体" w:hAnsi="宋体" w:cs="微软雅黑"/>
                <w:b/>
                <w:color w:val="000000"/>
              </w:rPr>
              <w:t xml:space="preserve">结论： </w:t>
            </w:r>
            <w:r>
              <w:rPr>
                <w:rFonts w:ascii="宋体" w:hAnsi="宋体" w:cs="微软雅黑"/>
                <w:b/>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60" w:hRule="atLeast"/>
          <w:jc w:val="center"/>
        </w:trPr>
        <w:tc>
          <w:tcPr>
            <w:tcW w:w="1208" w:type="dxa"/>
            <w:shd w:val="clear" w:color="auto" w:fill="D9E2F3"/>
          </w:tcPr>
          <w:p>
            <w:pPr>
              <w:spacing w:line="259" w:lineRule="auto"/>
              <w:jc w:val="center"/>
              <w:rPr>
                <w:rFonts w:ascii="宋体" w:hAnsi="宋体" w:cs="微软雅黑"/>
                <w:b/>
                <w:color w:val="000000"/>
              </w:rPr>
            </w:pPr>
            <w:r>
              <w:rPr>
                <w:rFonts w:hint="eastAsia" w:ascii="宋体" w:hAnsi="宋体" w:cs="微软雅黑"/>
                <w:b/>
                <w:color w:val="000000"/>
              </w:rPr>
              <w:t>第2节</w:t>
            </w:r>
          </w:p>
        </w:tc>
        <w:tc>
          <w:tcPr>
            <w:tcW w:w="4087" w:type="dxa"/>
            <w:shd w:val="clear" w:color="auto" w:fill="D9E2F3"/>
          </w:tcPr>
          <w:p>
            <w:pPr>
              <w:spacing w:line="259" w:lineRule="auto"/>
              <w:jc w:val="center"/>
              <w:rPr>
                <w:rFonts w:ascii="宋体" w:hAnsi="宋体" w:cs="微软雅黑"/>
                <w:b/>
                <w:color w:val="000000"/>
              </w:rPr>
            </w:pPr>
            <w:r>
              <w:rPr>
                <w:rFonts w:hint="eastAsia" w:ascii="宋体" w:hAnsi="宋体" w:cs="微软雅黑"/>
                <w:b/>
                <w:color w:val="000000"/>
              </w:rPr>
              <w:t>人</w:t>
            </w:r>
            <w:r>
              <w:rPr>
                <w:rFonts w:hint="eastAsia" w:ascii="宋体" w:hAnsi="宋体" w:cs="微软雅黑"/>
                <w:color w:val="000000"/>
              </w:rPr>
              <w:t>（23）</w:t>
            </w:r>
          </w:p>
        </w:tc>
        <w:tc>
          <w:tcPr>
            <w:tcW w:w="1556" w:type="dxa"/>
            <w:gridSpan w:val="2"/>
            <w:shd w:val="clear" w:color="auto" w:fill="D9E2F3"/>
          </w:tcPr>
          <w:p>
            <w:pPr>
              <w:spacing w:line="259" w:lineRule="auto"/>
              <w:ind w:right="45"/>
              <w:jc w:val="center"/>
              <w:rPr>
                <w:rFonts w:ascii="宋体" w:hAnsi="宋体" w:cs="微软雅黑"/>
                <w:b/>
                <w:color w:val="000000"/>
              </w:rPr>
            </w:pPr>
            <w:r>
              <w:rPr>
                <w:rFonts w:hint="eastAsia" w:ascii="宋体" w:hAnsi="宋体" w:cs="微软雅黑"/>
                <w:b/>
                <w:color w:val="000000"/>
              </w:rPr>
              <w:t>扣分值</w:t>
            </w:r>
          </w:p>
        </w:tc>
        <w:tc>
          <w:tcPr>
            <w:tcW w:w="2652" w:type="dxa"/>
            <w:shd w:val="clear" w:color="auto" w:fill="D9E2F3"/>
          </w:tcPr>
          <w:p>
            <w:pPr>
              <w:spacing w:line="259" w:lineRule="auto"/>
              <w:ind w:right="45"/>
              <w:jc w:val="center"/>
              <w:rPr>
                <w:rFonts w:ascii="宋体" w:hAnsi="宋体" w:cs="微软雅黑"/>
                <w:b/>
                <w:color w:val="000000"/>
              </w:rPr>
            </w:pPr>
            <w:r>
              <w:rPr>
                <w:rFonts w:hint="eastAsia" w:ascii="宋体" w:hAnsi="宋体" w:cs="微软雅黑"/>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139" w:hRule="atLeast"/>
          <w:jc w:val="center"/>
        </w:trPr>
        <w:tc>
          <w:tcPr>
            <w:tcW w:w="1208" w:type="dxa"/>
            <w:tcBorders>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2</w:t>
            </w:r>
            <w:r>
              <w:rPr>
                <w:rFonts w:ascii="宋体" w:hAnsi="宋体"/>
                <w:color w:val="000000"/>
              </w:rPr>
              <w:t>.1</w:t>
            </w:r>
          </w:p>
        </w:tc>
        <w:tc>
          <w:tcPr>
            <w:tcW w:w="4087" w:type="dxa"/>
            <w:shd w:val="clear" w:color="auto" w:fill="auto"/>
          </w:tcPr>
          <w:p>
            <w:pPr>
              <w:spacing w:line="259" w:lineRule="auto"/>
              <w:jc w:val="left"/>
              <w:rPr>
                <w:rFonts w:ascii="宋体" w:hAnsi="宋体"/>
              </w:rPr>
            </w:pPr>
            <w:r>
              <w:rPr>
                <w:rFonts w:hint="eastAsia" w:ascii="宋体" w:hAnsi="宋体"/>
              </w:rPr>
              <w:t>技术能力与资质（4）</w:t>
            </w:r>
          </w:p>
        </w:tc>
        <w:tc>
          <w:tcPr>
            <w:tcW w:w="1556" w:type="dxa"/>
            <w:gridSpan w:val="2"/>
            <w:shd w:val="clear" w:color="auto" w:fill="auto"/>
          </w:tcPr>
          <w:p>
            <w:pPr>
              <w:spacing w:line="259" w:lineRule="auto"/>
              <w:ind w:left="2"/>
              <w:rPr>
                <w:rFonts w:ascii="宋体" w:hAnsi="宋体"/>
                <w:color w:val="000000"/>
              </w:rPr>
            </w:pPr>
            <w:r>
              <w:rPr>
                <w:rFonts w:ascii="宋体" w:hAnsi="宋体"/>
                <w:color w:val="000000"/>
              </w:rPr>
              <w:t xml:space="preserve"> </w:t>
            </w:r>
          </w:p>
        </w:tc>
        <w:tc>
          <w:tcPr>
            <w:tcW w:w="2652" w:type="dxa"/>
            <w:shd w:val="clear" w:color="auto" w:fill="auto"/>
          </w:tcPr>
          <w:p>
            <w:pPr>
              <w:spacing w:line="259" w:lineRule="auto"/>
              <w:ind w:left="2"/>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139" w:hRule="atLeast"/>
          <w:jc w:val="center"/>
        </w:trPr>
        <w:tc>
          <w:tcPr>
            <w:tcW w:w="1208" w:type="dxa"/>
            <w:tcBorders>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2.1.1</w:t>
            </w:r>
          </w:p>
        </w:tc>
        <w:tc>
          <w:tcPr>
            <w:tcW w:w="4087" w:type="dxa"/>
            <w:shd w:val="clear" w:color="auto" w:fill="auto"/>
          </w:tcPr>
          <w:p>
            <w:pPr>
              <w:spacing w:line="259" w:lineRule="auto"/>
              <w:jc w:val="left"/>
              <w:rPr>
                <w:rFonts w:ascii="宋体" w:hAnsi="宋体"/>
              </w:rPr>
            </w:pPr>
            <w:r>
              <w:rPr>
                <w:rFonts w:hint="eastAsia" w:ascii="宋体" w:hAnsi="宋体"/>
              </w:rPr>
              <w:t>植保员、园林绿化修剪技工应持证上岗</w:t>
            </w:r>
          </w:p>
        </w:tc>
        <w:tc>
          <w:tcPr>
            <w:tcW w:w="1556" w:type="dxa"/>
            <w:gridSpan w:val="2"/>
            <w:shd w:val="clear" w:color="auto" w:fill="auto"/>
          </w:tcPr>
          <w:p>
            <w:pPr>
              <w:spacing w:line="259" w:lineRule="auto"/>
              <w:ind w:left="2"/>
              <w:rPr>
                <w:rFonts w:ascii="宋体" w:hAnsi="宋体"/>
                <w:color w:val="000000"/>
              </w:rPr>
            </w:pPr>
          </w:p>
        </w:tc>
        <w:tc>
          <w:tcPr>
            <w:tcW w:w="2652" w:type="dxa"/>
            <w:shd w:val="clear" w:color="auto" w:fill="auto"/>
          </w:tcPr>
          <w:p>
            <w:pPr>
              <w:spacing w:line="259" w:lineRule="auto"/>
              <w:ind w:left="2"/>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68" w:hRule="atLeast"/>
          <w:jc w:val="center"/>
        </w:trPr>
        <w:tc>
          <w:tcPr>
            <w:tcW w:w="1208" w:type="dxa"/>
            <w:tcBorders>
              <w:top w:val="single" w:color="auto" w:sz="4" w:space="0"/>
              <w:bottom w:val="single" w:color="auto" w:sz="4" w:space="0"/>
            </w:tcBorders>
            <w:shd w:val="clear" w:color="auto" w:fill="auto"/>
            <w:vAlign w:val="center"/>
          </w:tcPr>
          <w:p>
            <w:pPr>
              <w:spacing w:line="276" w:lineRule="auto"/>
              <w:jc w:val="center"/>
              <w:rPr>
                <w:rFonts w:ascii="宋体" w:hAnsi="宋体"/>
              </w:rPr>
            </w:pPr>
            <w:r>
              <w:rPr>
                <w:rFonts w:ascii="宋体" w:hAnsi="宋体"/>
              </w:rPr>
              <w:t>2.2</w:t>
            </w:r>
          </w:p>
        </w:tc>
        <w:tc>
          <w:tcPr>
            <w:tcW w:w="4087" w:type="dxa"/>
            <w:shd w:val="clear" w:color="auto" w:fill="auto"/>
            <w:vAlign w:val="center"/>
          </w:tcPr>
          <w:p>
            <w:pPr>
              <w:spacing w:line="259" w:lineRule="auto"/>
              <w:jc w:val="left"/>
              <w:rPr>
                <w:rFonts w:ascii="宋体" w:hAnsi="宋体"/>
              </w:rPr>
            </w:pPr>
            <w:r>
              <w:rPr>
                <w:rFonts w:hint="eastAsia" w:ascii="宋体" w:hAnsi="宋体"/>
              </w:rPr>
              <w:t>人员培训及上岗要求（4）</w:t>
            </w:r>
          </w:p>
        </w:tc>
        <w:tc>
          <w:tcPr>
            <w:tcW w:w="1556" w:type="dxa"/>
            <w:gridSpan w:val="2"/>
            <w:shd w:val="clear" w:color="auto" w:fill="auto"/>
            <w:vAlign w:val="center"/>
          </w:tcPr>
          <w:p>
            <w:pPr>
              <w:spacing w:line="276" w:lineRule="auto"/>
              <w:jc w:val="left"/>
              <w:rPr>
                <w:rFonts w:ascii="宋体" w:hAnsi="宋体"/>
                <w:color w:val="000000"/>
              </w:rPr>
            </w:pPr>
          </w:p>
        </w:tc>
        <w:tc>
          <w:tcPr>
            <w:tcW w:w="2652" w:type="dxa"/>
            <w:shd w:val="clear" w:color="auto" w:fill="auto"/>
            <w:vAlign w:val="center"/>
          </w:tcPr>
          <w:p>
            <w:pPr>
              <w:spacing w:line="276" w:lineRule="auto"/>
              <w:jc w:val="left"/>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68" w:hRule="atLeast"/>
          <w:jc w:val="center"/>
        </w:trPr>
        <w:tc>
          <w:tcPr>
            <w:tcW w:w="1208" w:type="dxa"/>
            <w:tcBorders>
              <w:top w:val="single" w:color="auto" w:sz="4" w:space="0"/>
              <w:bottom w:val="single" w:color="auto" w:sz="4" w:space="0"/>
            </w:tcBorders>
            <w:shd w:val="clear" w:color="auto" w:fill="auto"/>
            <w:vAlign w:val="center"/>
          </w:tcPr>
          <w:p>
            <w:pPr>
              <w:spacing w:line="276" w:lineRule="auto"/>
              <w:jc w:val="center"/>
              <w:rPr>
                <w:rFonts w:ascii="宋体" w:hAnsi="宋体"/>
              </w:rPr>
            </w:pPr>
            <w:r>
              <w:rPr>
                <w:rFonts w:hint="eastAsia" w:ascii="宋体" w:hAnsi="宋体"/>
              </w:rPr>
              <w:t>2.2.1</w:t>
            </w:r>
          </w:p>
        </w:tc>
        <w:tc>
          <w:tcPr>
            <w:tcW w:w="4087" w:type="dxa"/>
            <w:shd w:val="clear" w:color="auto" w:fill="auto"/>
            <w:vAlign w:val="center"/>
          </w:tcPr>
          <w:p>
            <w:pPr>
              <w:spacing w:line="259" w:lineRule="auto"/>
              <w:jc w:val="left"/>
              <w:rPr>
                <w:rFonts w:ascii="宋体" w:hAnsi="宋体"/>
              </w:rPr>
            </w:pPr>
            <w:r>
              <w:rPr>
                <w:rFonts w:hint="eastAsia" w:ascii="宋体" w:hAnsi="宋体"/>
              </w:rPr>
              <w:t>人员上岗前必须经过技术和安全培训</w:t>
            </w:r>
          </w:p>
        </w:tc>
        <w:tc>
          <w:tcPr>
            <w:tcW w:w="1556" w:type="dxa"/>
            <w:gridSpan w:val="2"/>
            <w:shd w:val="clear" w:color="auto" w:fill="auto"/>
            <w:vAlign w:val="center"/>
          </w:tcPr>
          <w:p>
            <w:pPr>
              <w:spacing w:line="276" w:lineRule="auto"/>
              <w:jc w:val="left"/>
              <w:rPr>
                <w:rFonts w:ascii="宋体" w:hAnsi="宋体"/>
                <w:color w:val="000000"/>
              </w:rPr>
            </w:pPr>
          </w:p>
        </w:tc>
        <w:tc>
          <w:tcPr>
            <w:tcW w:w="2652" w:type="dxa"/>
            <w:shd w:val="clear" w:color="auto" w:fill="auto"/>
            <w:vAlign w:val="center"/>
          </w:tcPr>
          <w:p>
            <w:pPr>
              <w:spacing w:line="276" w:lineRule="auto"/>
              <w:jc w:val="left"/>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68" w:hRule="atLeast"/>
          <w:jc w:val="center"/>
        </w:trPr>
        <w:tc>
          <w:tcPr>
            <w:tcW w:w="1208" w:type="dxa"/>
            <w:tcBorders>
              <w:top w:val="single" w:color="auto" w:sz="4" w:space="0"/>
              <w:bottom w:val="single" w:color="auto" w:sz="4" w:space="0"/>
            </w:tcBorders>
            <w:shd w:val="clear" w:color="auto" w:fill="auto"/>
            <w:vAlign w:val="center"/>
          </w:tcPr>
          <w:p>
            <w:pPr>
              <w:spacing w:line="276" w:lineRule="auto"/>
              <w:jc w:val="center"/>
              <w:rPr>
                <w:rFonts w:ascii="宋体" w:hAnsi="宋体"/>
              </w:rPr>
            </w:pPr>
            <w:r>
              <w:rPr>
                <w:rFonts w:hint="eastAsia" w:ascii="宋体" w:hAnsi="宋体"/>
              </w:rPr>
              <w:t>2.2.2</w:t>
            </w:r>
          </w:p>
        </w:tc>
        <w:tc>
          <w:tcPr>
            <w:tcW w:w="4087" w:type="dxa"/>
            <w:shd w:val="clear" w:color="auto" w:fill="auto"/>
            <w:vAlign w:val="center"/>
          </w:tcPr>
          <w:p>
            <w:pPr>
              <w:spacing w:line="259" w:lineRule="auto"/>
              <w:jc w:val="left"/>
              <w:rPr>
                <w:rFonts w:ascii="宋体" w:hAnsi="宋体"/>
              </w:rPr>
            </w:pPr>
            <w:r>
              <w:rPr>
                <w:rFonts w:hint="eastAsia" w:ascii="宋体" w:hAnsi="宋体"/>
              </w:rPr>
              <w:t>合约单位每月不少于1次培训</w:t>
            </w:r>
          </w:p>
        </w:tc>
        <w:tc>
          <w:tcPr>
            <w:tcW w:w="1556" w:type="dxa"/>
            <w:gridSpan w:val="2"/>
            <w:shd w:val="clear" w:color="auto" w:fill="auto"/>
            <w:vAlign w:val="center"/>
          </w:tcPr>
          <w:p>
            <w:pPr>
              <w:spacing w:line="276" w:lineRule="auto"/>
              <w:jc w:val="left"/>
              <w:rPr>
                <w:rFonts w:ascii="宋体" w:hAnsi="宋体"/>
                <w:color w:val="000000"/>
              </w:rPr>
            </w:pPr>
          </w:p>
        </w:tc>
        <w:tc>
          <w:tcPr>
            <w:tcW w:w="2652" w:type="dxa"/>
            <w:shd w:val="clear" w:color="auto" w:fill="auto"/>
            <w:vAlign w:val="center"/>
          </w:tcPr>
          <w:p>
            <w:pPr>
              <w:spacing w:line="276" w:lineRule="auto"/>
              <w:jc w:val="left"/>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53"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color w:val="000000"/>
              </w:rPr>
            </w:pPr>
            <w:r>
              <w:rPr>
                <w:rFonts w:ascii="宋体" w:hAnsi="宋体"/>
                <w:color w:val="000000"/>
              </w:rPr>
              <w:t>2.3</w:t>
            </w:r>
          </w:p>
        </w:tc>
        <w:tc>
          <w:tcPr>
            <w:tcW w:w="4087" w:type="dxa"/>
            <w:shd w:val="clear" w:color="auto" w:fill="auto"/>
          </w:tcPr>
          <w:p>
            <w:pPr>
              <w:spacing w:line="259" w:lineRule="auto"/>
              <w:jc w:val="left"/>
              <w:rPr>
                <w:rFonts w:ascii="宋体" w:hAnsi="宋体"/>
              </w:rPr>
            </w:pPr>
            <w:r>
              <w:rPr>
                <w:rFonts w:hint="eastAsia" w:ascii="宋体" w:hAnsi="宋体"/>
              </w:rPr>
              <w:t>人员劳务关系（4）</w:t>
            </w:r>
          </w:p>
        </w:tc>
        <w:tc>
          <w:tcPr>
            <w:tcW w:w="1556" w:type="dxa"/>
            <w:gridSpan w:val="2"/>
            <w:shd w:val="clear" w:color="auto" w:fill="auto"/>
          </w:tcPr>
          <w:p>
            <w:pPr>
              <w:spacing w:line="252" w:lineRule="auto"/>
              <w:rPr>
                <w:rFonts w:ascii="宋体" w:hAnsi="宋体"/>
                <w:color w:val="000000"/>
              </w:rPr>
            </w:pPr>
            <w:r>
              <w:rPr>
                <w:rFonts w:ascii="宋体" w:hAnsi="宋体"/>
                <w:color w:val="000000"/>
              </w:rPr>
              <w:t xml:space="preserve"> </w:t>
            </w:r>
          </w:p>
        </w:tc>
        <w:tc>
          <w:tcPr>
            <w:tcW w:w="2652" w:type="dxa"/>
            <w:shd w:val="clear" w:color="auto" w:fill="auto"/>
          </w:tcPr>
          <w:p>
            <w:pPr>
              <w:spacing w:line="252"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53"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2.3.1</w:t>
            </w:r>
          </w:p>
        </w:tc>
        <w:tc>
          <w:tcPr>
            <w:tcW w:w="4087" w:type="dxa"/>
            <w:shd w:val="clear" w:color="auto" w:fill="auto"/>
          </w:tcPr>
          <w:p>
            <w:pPr>
              <w:spacing w:line="259" w:lineRule="auto"/>
              <w:jc w:val="left"/>
              <w:rPr>
                <w:rFonts w:ascii="宋体" w:hAnsi="宋体"/>
              </w:rPr>
            </w:pPr>
            <w:r>
              <w:rPr>
                <w:rFonts w:hint="eastAsia" w:ascii="宋体" w:hAnsi="宋体"/>
              </w:rPr>
              <w:t>工作人员有劳动合同</w:t>
            </w:r>
          </w:p>
        </w:tc>
        <w:tc>
          <w:tcPr>
            <w:tcW w:w="1556" w:type="dxa"/>
            <w:gridSpan w:val="2"/>
            <w:shd w:val="clear" w:color="auto" w:fill="auto"/>
          </w:tcPr>
          <w:p>
            <w:pPr>
              <w:spacing w:line="252" w:lineRule="auto"/>
              <w:rPr>
                <w:rFonts w:ascii="宋体" w:hAnsi="宋体"/>
                <w:color w:val="000000"/>
              </w:rPr>
            </w:pPr>
          </w:p>
        </w:tc>
        <w:tc>
          <w:tcPr>
            <w:tcW w:w="2652" w:type="dxa"/>
            <w:shd w:val="clear" w:color="auto" w:fill="auto"/>
          </w:tcPr>
          <w:p>
            <w:pPr>
              <w:spacing w:line="252"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53"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2.3.2</w:t>
            </w:r>
          </w:p>
        </w:tc>
        <w:tc>
          <w:tcPr>
            <w:tcW w:w="4087" w:type="dxa"/>
            <w:shd w:val="clear" w:color="auto" w:fill="auto"/>
          </w:tcPr>
          <w:p>
            <w:pPr>
              <w:spacing w:line="259" w:lineRule="auto"/>
              <w:jc w:val="left"/>
              <w:rPr>
                <w:rFonts w:ascii="宋体" w:hAnsi="宋体"/>
              </w:rPr>
            </w:pPr>
            <w:r>
              <w:rPr>
                <w:rFonts w:hint="eastAsia" w:ascii="宋体" w:hAnsi="宋体"/>
              </w:rPr>
              <w:t>为每位员工办理和缴纳社会保险</w:t>
            </w:r>
          </w:p>
        </w:tc>
        <w:tc>
          <w:tcPr>
            <w:tcW w:w="1556" w:type="dxa"/>
            <w:gridSpan w:val="2"/>
            <w:shd w:val="clear" w:color="auto" w:fill="auto"/>
          </w:tcPr>
          <w:p>
            <w:pPr>
              <w:spacing w:line="252" w:lineRule="auto"/>
              <w:rPr>
                <w:rFonts w:ascii="宋体" w:hAnsi="宋体"/>
                <w:color w:val="000000"/>
              </w:rPr>
            </w:pPr>
          </w:p>
        </w:tc>
        <w:tc>
          <w:tcPr>
            <w:tcW w:w="2652" w:type="dxa"/>
            <w:shd w:val="clear" w:color="auto" w:fill="auto"/>
          </w:tcPr>
          <w:p>
            <w:pPr>
              <w:spacing w:line="252"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53" w:hRule="atLeast"/>
          <w:jc w:val="center"/>
        </w:trPr>
        <w:tc>
          <w:tcPr>
            <w:tcW w:w="1208" w:type="dxa"/>
            <w:tcBorders>
              <w:top w:val="single" w:color="auto" w:sz="4" w:space="0"/>
              <w:bottom w:val="single" w:color="auto" w:sz="4" w:space="0"/>
            </w:tcBorders>
            <w:shd w:val="clear" w:color="auto" w:fill="auto"/>
            <w:vAlign w:val="center"/>
          </w:tcPr>
          <w:p>
            <w:pPr>
              <w:spacing w:line="252" w:lineRule="auto"/>
              <w:jc w:val="center"/>
              <w:rPr>
                <w:rFonts w:ascii="宋体" w:hAnsi="宋体"/>
                <w:color w:val="000000"/>
              </w:rPr>
            </w:pPr>
            <w:r>
              <w:rPr>
                <w:rFonts w:hint="eastAsia" w:ascii="宋体" w:hAnsi="宋体"/>
                <w:color w:val="000000"/>
              </w:rPr>
              <w:t>2.3.3</w:t>
            </w:r>
          </w:p>
        </w:tc>
        <w:tc>
          <w:tcPr>
            <w:tcW w:w="4087" w:type="dxa"/>
            <w:shd w:val="clear" w:color="auto" w:fill="auto"/>
          </w:tcPr>
          <w:p>
            <w:pPr>
              <w:spacing w:line="259" w:lineRule="auto"/>
              <w:jc w:val="left"/>
              <w:rPr>
                <w:rFonts w:ascii="宋体" w:hAnsi="宋体"/>
              </w:rPr>
            </w:pPr>
            <w:r>
              <w:rPr>
                <w:rFonts w:hint="eastAsia" w:ascii="宋体" w:hAnsi="宋体"/>
              </w:rPr>
              <w:t>员工购买人身意外伤害保险</w:t>
            </w:r>
          </w:p>
        </w:tc>
        <w:tc>
          <w:tcPr>
            <w:tcW w:w="1556" w:type="dxa"/>
            <w:gridSpan w:val="2"/>
            <w:shd w:val="clear" w:color="auto" w:fill="auto"/>
          </w:tcPr>
          <w:p>
            <w:pPr>
              <w:spacing w:line="252" w:lineRule="auto"/>
              <w:rPr>
                <w:rFonts w:ascii="宋体" w:hAnsi="宋体"/>
                <w:color w:val="000000"/>
              </w:rPr>
            </w:pPr>
          </w:p>
        </w:tc>
        <w:tc>
          <w:tcPr>
            <w:tcW w:w="2652" w:type="dxa"/>
            <w:shd w:val="clear" w:color="auto" w:fill="auto"/>
          </w:tcPr>
          <w:p>
            <w:pPr>
              <w:spacing w:line="252"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shd w:val="clear" w:color="auto" w:fill="auto"/>
            <w:vAlign w:val="center"/>
          </w:tcPr>
          <w:p>
            <w:pPr>
              <w:spacing w:line="252" w:lineRule="auto"/>
              <w:jc w:val="center"/>
              <w:rPr>
                <w:rFonts w:ascii="宋体" w:hAnsi="宋体"/>
                <w:color w:val="000000"/>
              </w:rPr>
            </w:pPr>
            <w:r>
              <w:rPr>
                <w:rFonts w:hint="eastAsia" w:ascii="宋体" w:hAnsi="宋体"/>
                <w:color w:val="000000"/>
              </w:rPr>
              <w:t>2.4</w:t>
            </w:r>
          </w:p>
        </w:tc>
        <w:tc>
          <w:tcPr>
            <w:tcW w:w="4087" w:type="dxa"/>
            <w:shd w:val="clear" w:color="auto" w:fill="auto"/>
          </w:tcPr>
          <w:p>
            <w:pPr>
              <w:spacing w:line="259" w:lineRule="auto"/>
              <w:jc w:val="left"/>
              <w:rPr>
                <w:rFonts w:ascii="宋体" w:hAnsi="宋体"/>
                <w:color w:val="000000"/>
              </w:rPr>
            </w:pPr>
            <w:r>
              <w:rPr>
                <w:rFonts w:hint="eastAsia" w:ascii="宋体" w:hAnsi="宋体"/>
                <w:color w:val="000000"/>
              </w:rPr>
              <w:t>薪酬发放</w:t>
            </w:r>
            <w:r>
              <w:rPr>
                <w:rFonts w:hint="eastAsia" w:ascii="宋体" w:hAnsi="宋体"/>
              </w:rPr>
              <w:t>（4）</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shd w:val="clear" w:color="auto" w:fill="auto"/>
            <w:vAlign w:val="center"/>
          </w:tcPr>
          <w:p>
            <w:pPr>
              <w:spacing w:line="252" w:lineRule="auto"/>
              <w:jc w:val="center"/>
              <w:rPr>
                <w:rFonts w:ascii="宋体" w:hAnsi="宋体"/>
                <w:color w:val="000000"/>
              </w:rPr>
            </w:pPr>
            <w:r>
              <w:rPr>
                <w:rFonts w:hint="eastAsia" w:ascii="宋体" w:hAnsi="宋体"/>
                <w:color w:val="000000"/>
              </w:rPr>
              <w:t>2.5</w:t>
            </w:r>
          </w:p>
        </w:tc>
        <w:tc>
          <w:tcPr>
            <w:tcW w:w="4087" w:type="dxa"/>
            <w:shd w:val="clear" w:color="auto" w:fill="auto"/>
          </w:tcPr>
          <w:p>
            <w:pPr>
              <w:spacing w:line="259" w:lineRule="auto"/>
              <w:jc w:val="left"/>
              <w:rPr>
                <w:rFonts w:ascii="宋体" w:hAnsi="宋体"/>
                <w:color w:val="000000"/>
              </w:rPr>
            </w:pPr>
            <w:r>
              <w:rPr>
                <w:rFonts w:hint="eastAsia" w:ascii="宋体" w:hAnsi="宋体"/>
                <w:color w:val="000000"/>
              </w:rPr>
              <w:t>员工的遵纪守法情况</w:t>
            </w:r>
            <w:r>
              <w:rPr>
                <w:rFonts w:hint="eastAsia" w:ascii="宋体" w:hAnsi="宋体"/>
              </w:rPr>
              <w:t>（4）</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shd w:val="clear" w:color="auto" w:fill="auto"/>
          </w:tcPr>
          <w:p>
            <w:pPr>
              <w:spacing w:line="259" w:lineRule="auto"/>
              <w:jc w:val="center"/>
              <w:rPr>
                <w:rFonts w:ascii="宋体" w:hAnsi="宋体"/>
                <w:color w:val="000000"/>
              </w:rPr>
            </w:pPr>
            <w:r>
              <w:rPr>
                <w:rFonts w:hint="eastAsia" w:ascii="宋体" w:hAnsi="宋体"/>
              </w:rPr>
              <w:t>2.5.1</w:t>
            </w:r>
          </w:p>
        </w:tc>
        <w:tc>
          <w:tcPr>
            <w:tcW w:w="4087" w:type="dxa"/>
            <w:shd w:val="clear" w:color="auto" w:fill="auto"/>
          </w:tcPr>
          <w:p>
            <w:pPr>
              <w:spacing w:line="259" w:lineRule="auto"/>
              <w:jc w:val="left"/>
              <w:rPr>
                <w:rFonts w:ascii="宋体" w:hAnsi="宋体"/>
                <w:color w:val="000000"/>
              </w:rPr>
            </w:pPr>
            <w:r>
              <w:rPr>
                <w:rFonts w:hint="eastAsia" w:ascii="宋体" w:hAnsi="宋体"/>
              </w:rPr>
              <w:t>工作人员应保持廉洁，遵守基本的道德准则，法律法规和机场相关规章制度</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shd w:val="clear" w:color="auto" w:fill="auto"/>
          </w:tcPr>
          <w:p>
            <w:pPr>
              <w:spacing w:line="259" w:lineRule="auto"/>
              <w:jc w:val="center"/>
              <w:rPr>
                <w:rFonts w:ascii="宋体" w:hAnsi="宋体"/>
                <w:color w:val="000000"/>
              </w:rPr>
            </w:pPr>
            <w:r>
              <w:rPr>
                <w:rFonts w:hint="eastAsia" w:ascii="宋体" w:hAnsi="宋体"/>
              </w:rPr>
              <w:t>2.5.2</w:t>
            </w:r>
          </w:p>
        </w:tc>
        <w:tc>
          <w:tcPr>
            <w:tcW w:w="4087" w:type="dxa"/>
            <w:shd w:val="clear" w:color="auto" w:fill="auto"/>
          </w:tcPr>
          <w:p>
            <w:pPr>
              <w:spacing w:line="259" w:lineRule="auto"/>
              <w:jc w:val="left"/>
              <w:rPr>
                <w:rFonts w:ascii="宋体" w:hAnsi="宋体"/>
                <w:color w:val="000000"/>
              </w:rPr>
            </w:pPr>
            <w:r>
              <w:rPr>
                <w:rFonts w:hint="eastAsia" w:ascii="宋体" w:hAnsi="宋体"/>
              </w:rPr>
              <w:t>不沾染“黄、赌、毒”违法行为，不参与封建迷信活动和非法宗教组织活动</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shd w:val="clear" w:color="auto" w:fill="auto"/>
          </w:tcPr>
          <w:p>
            <w:pPr>
              <w:spacing w:line="259" w:lineRule="auto"/>
              <w:jc w:val="center"/>
              <w:rPr>
                <w:rFonts w:ascii="宋体" w:hAnsi="宋体"/>
                <w:color w:val="000000"/>
              </w:rPr>
            </w:pPr>
            <w:r>
              <w:rPr>
                <w:rFonts w:hint="eastAsia" w:ascii="宋体" w:hAnsi="宋体"/>
              </w:rPr>
              <w:t>2.5.3</w:t>
            </w:r>
          </w:p>
        </w:tc>
        <w:tc>
          <w:tcPr>
            <w:tcW w:w="4087" w:type="dxa"/>
            <w:shd w:val="clear" w:color="auto" w:fill="auto"/>
          </w:tcPr>
          <w:p>
            <w:pPr>
              <w:spacing w:line="259" w:lineRule="auto"/>
              <w:jc w:val="left"/>
              <w:rPr>
                <w:rFonts w:ascii="宋体" w:hAnsi="宋体"/>
                <w:color w:val="000000"/>
              </w:rPr>
            </w:pPr>
            <w:r>
              <w:rPr>
                <w:rFonts w:hint="eastAsia" w:ascii="宋体" w:hAnsi="宋体"/>
              </w:rPr>
              <w:t>不在网络媒体发布、传播损害国家、机场、公司利益的信息，不信谣、不传谣</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shd w:val="clear" w:color="auto" w:fill="auto"/>
          </w:tcPr>
          <w:p>
            <w:pPr>
              <w:spacing w:line="259" w:lineRule="auto"/>
              <w:jc w:val="center"/>
              <w:rPr>
                <w:rFonts w:ascii="宋体" w:hAnsi="宋体"/>
                <w:color w:val="000000"/>
              </w:rPr>
            </w:pPr>
            <w:r>
              <w:rPr>
                <w:rFonts w:hint="eastAsia" w:ascii="宋体" w:hAnsi="宋体"/>
              </w:rPr>
              <w:t>2.5.4</w:t>
            </w:r>
          </w:p>
        </w:tc>
        <w:tc>
          <w:tcPr>
            <w:tcW w:w="4087" w:type="dxa"/>
            <w:shd w:val="clear" w:color="auto" w:fill="auto"/>
          </w:tcPr>
          <w:p>
            <w:pPr>
              <w:spacing w:line="259" w:lineRule="auto"/>
              <w:jc w:val="left"/>
              <w:rPr>
                <w:rFonts w:ascii="宋体" w:hAnsi="宋体"/>
                <w:color w:val="000000"/>
              </w:rPr>
            </w:pPr>
            <w:r>
              <w:rPr>
                <w:rFonts w:hint="eastAsia" w:ascii="宋体" w:hAnsi="宋体"/>
              </w:rPr>
              <w:t>不做损害国家、行业、机场、公司利益的事</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shd w:val="clear" w:color="auto" w:fill="auto"/>
          </w:tcPr>
          <w:p>
            <w:pPr>
              <w:spacing w:line="259" w:lineRule="auto"/>
              <w:jc w:val="center"/>
              <w:rPr>
                <w:rFonts w:ascii="宋体" w:hAnsi="宋体"/>
                <w:color w:val="000000"/>
              </w:rPr>
            </w:pPr>
            <w:r>
              <w:rPr>
                <w:rFonts w:hint="eastAsia" w:ascii="宋体" w:hAnsi="宋体"/>
              </w:rPr>
              <w:t>2.5.5</w:t>
            </w:r>
          </w:p>
        </w:tc>
        <w:tc>
          <w:tcPr>
            <w:tcW w:w="4087" w:type="dxa"/>
            <w:shd w:val="clear" w:color="auto" w:fill="auto"/>
          </w:tcPr>
          <w:p>
            <w:pPr>
              <w:spacing w:line="259" w:lineRule="auto"/>
              <w:jc w:val="left"/>
              <w:rPr>
                <w:rFonts w:ascii="宋体" w:hAnsi="宋体"/>
                <w:color w:val="000000"/>
              </w:rPr>
            </w:pPr>
            <w:r>
              <w:rPr>
                <w:rFonts w:hint="eastAsia" w:ascii="宋体" w:hAnsi="宋体"/>
              </w:rPr>
              <w:t>爱岗敬业，勤奋努力，不断提高工作效率和工作质量</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shd w:val="clear" w:color="auto" w:fill="auto"/>
            <w:vAlign w:val="center"/>
          </w:tcPr>
          <w:p>
            <w:pPr>
              <w:spacing w:line="252" w:lineRule="auto"/>
              <w:jc w:val="center"/>
              <w:rPr>
                <w:rFonts w:ascii="宋体" w:hAnsi="宋体"/>
                <w:color w:val="000000"/>
              </w:rPr>
            </w:pPr>
            <w:r>
              <w:rPr>
                <w:rFonts w:hint="eastAsia" w:ascii="宋体" w:hAnsi="宋体"/>
                <w:color w:val="000000"/>
              </w:rPr>
              <w:t>2.6</w:t>
            </w:r>
          </w:p>
        </w:tc>
        <w:tc>
          <w:tcPr>
            <w:tcW w:w="4087" w:type="dxa"/>
            <w:shd w:val="clear" w:color="auto" w:fill="auto"/>
          </w:tcPr>
          <w:p>
            <w:pPr>
              <w:spacing w:line="259" w:lineRule="auto"/>
              <w:jc w:val="left"/>
              <w:rPr>
                <w:rFonts w:ascii="宋体" w:hAnsi="宋体"/>
                <w:color w:val="000000"/>
              </w:rPr>
            </w:pPr>
            <w:r>
              <w:rPr>
                <w:rFonts w:hint="eastAsia" w:ascii="宋体" w:hAnsi="宋体"/>
                <w:color w:val="000000"/>
              </w:rPr>
              <w:t>企业文化认同及机场主人翁意识</w:t>
            </w:r>
            <w:r>
              <w:rPr>
                <w:rFonts w:hint="eastAsia" w:ascii="宋体" w:hAnsi="宋体"/>
              </w:rPr>
              <w:t>（3）</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95" w:hRule="atLeast"/>
          <w:jc w:val="center"/>
        </w:trPr>
        <w:tc>
          <w:tcPr>
            <w:tcW w:w="1208" w:type="dxa"/>
            <w:tcBorders>
              <w:top w:val="single" w:color="auto" w:sz="4" w:space="0"/>
            </w:tcBorders>
            <w:shd w:val="clear" w:color="auto" w:fill="auto"/>
            <w:vAlign w:val="center"/>
          </w:tcPr>
          <w:p>
            <w:pPr>
              <w:spacing w:line="252" w:lineRule="auto"/>
              <w:jc w:val="center"/>
              <w:rPr>
                <w:rFonts w:ascii="宋体" w:hAnsi="宋体"/>
                <w:color w:val="000000"/>
              </w:rPr>
            </w:pPr>
            <w:r>
              <w:rPr>
                <w:rFonts w:hint="eastAsia" w:ascii="宋体" w:hAnsi="宋体"/>
                <w:color w:val="000000"/>
              </w:rPr>
              <w:t>2.6.1</w:t>
            </w:r>
          </w:p>
        </w:tc>
        <w:tc>
          <w:tcPr>
            <w:tcW w:w="4087" w:type="dxa"/>
            <w:shd w:val="clear" w:color="auto" w:fill="auto"/>
          </w:tcPr>
          <w:p>
            <w:pPr>
              <w:spacing w:line="259" w:lineRule="auto"/>
              <w:jc w:val="left"/>
              <w:rPr>
                <w:rFonts w:ascii="宋体" w:hAnsi="宋体"/>
              </w:rPr>
            </w:pPr>
            <w:r>
              <w:rPr>
                <w:rFonts w:hint="eastAsia" w:ascii="宋体" w:hAnsi="宋体"/>
              </w:rPr>
              <w:t>认同机场的企业文化和相关要求</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482" w:hRule="atLeast"/>
          <w:jc w:val="center"/>
        </w:trPr>
        <w:tc>
          <w:tcPr>
            <w:tcW w:w="9503" w:type="dxa"/>
            <w:gridSpan w:val="5"/>
            <w:shd w:val="clear" w:color="auto" w:fill="auto"/>
          </w:tcPr>
          <w:p>
            <w:pPr>
              <w:spacing w:line="259" w:lineRule="auto"/>
              <w:jc w:val="left"/>
              <w:rPr>
                <w:rFonts w:ascii="宋体" w:hAnsi="宋体"/>
                <w:color w:val="000000"/>
              </w:rPr>
            </w:pPr>
            <w:r>
              <w:rPr>
                <w:rFonts w:hint="eastAsia" w:ascii="宋体" w:hAnsi="宋体" w:cs="微软雅黑"/>
                <w:b/>
                <w:color w:val="000000"/>
              </w:rPr>
              <w:t xml:space="preserve">分项分值： </w:t>
            </w:r>
            <w:r>
              <w:rPr>
                <w:rFonts w:ascii="宋体" w:hAnsi="宋体" w:cs="微软雅黑"/>
                <w:b/>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82" w:hRule="atLeast"/>
          <w:jc w:val="center"/>
        </w:trPr>
        <w:tc>
          <w:tcPr>
            <w:tcW w:w="1208" w:type="dxa"/>
            <w:shd w:val="clear" w:color="auto" w:fill="D9E2F3"/>
          </w:tcPr>
          <w:p>
            <w:pPr>
              <w:spacing w:line="259" w:lineRule="auto"/>
              <w:jc w:val="center"/>
              <w:rPr>
                <w:rFonts w:ascii="宋体" w:hAnsi="宋体" w:cs="微软雅黑"/>
                <w:b/>
                <w:color w:val="000000"/>
              </w:rPr>
            </w:pPr>
            <w:r>
              <w:rPr>
                <w:rFonts w:hint="eastAsia" w:ascii="宋体" w:hAnsi="宋体" w:cs="微软雅黑"/>
                <w:b/>
                <w:color w:val="000000"/>
              </w:rPr>
              <w:t>第3节</w:t>
            </w:r>
          </w:p>
        </w:tc>
        <w:tc>
          <w:tcPr>
            <w:tcW w:w="4087" w:type="dxa"/>
            <w:shd w:val="clear" w:color="auto" w:fill="D9E2F3"/>
          </w:tcPr>
          <w:p>
            <w:pPr>
              <w:spacing w:line="259" w:lineRule="auto"/>
              <w:jc w:val="center"/>
              <w:rPr>
                <w:rFonts w:ascii="宋体" w:hAnsi="宋体" w:cs="微软雅黑"/>
                <w:b/>
                <w:color w:val="000000"/>
              </w:rPr>
            </w:pPr>
            <w:r>
              <w:rPr>
                <w:rFonts w:hint="eastAsia" w:ascii="宋体" w:hAnsi="宋体" w:cs="微软雅黑"/>
                <w:b/>
                <w:color w:val="000000"/>
              </w:rPr>
              <w:t>质量</w:t>
            </w:r>
            <w:r>
              <w:rPr>
                <w:rFonts w:hint="eastAsia" w:ascii="宋体" w:hAnsi="宋体" w:cs="微软雅黑"/>
                <w:color w:val="000000"/>
              </w:rPr>
              <w:t>（35）</w:t>
            </w:r>
          </w:p>
        </w:tc>
        <w:tc>
          <w:tcPr>
            <w:tcW w:w="1556" w:type="dxa"/>
            <w:gridSpan w:val="2"/>
            <w:shd w:val="clear" w:color="auto" w:fill="D9E2F3"/>
          </w:tcPr>
          <w:p>
            <w:pPr>
              <w:spacing w:after="84" w:line="259" w:lineRule="auto"/>
              <w:jc w:val="center"/>
              <w:rPr>
                <w:rFonts w:ascii="宋体" w:hAnsi="宋体" w:cs="微软雅黑"/>
                <w:b/>
                <w:color w:val="000000"/>
              </w:rPr>
            </w:pPr>
            <w:r>
              <w:rPr>
                <w:rFonts w:hint="eastAsia" w:ascii="宋体" w:hAnsi="宋体" w:cs="微软雅黑"/>
                <w:b/>
                <w:color w:val="000000"/>
              </w:rPr>
              <w:t>扣分值</w:t>
            </w:r>
          </w:p>
        </w:tc>
        <w:tc>
          <w:tcPr>
            <w:tcW w:w="2652" w:type="dxa"/>
            <w:shd w:val="clear" w:color="auto" w:fill="D9E2F3"/>
          </w:tcPr>
          <w:p>
            <w:pPr>
              <w:spacing w:line="259" w:lineRule="auto"/>
              <w:jc w:val="center"/>
              <w:rPr>
                <w:rFonts w:ascii="宋体" w:hAnsi="宋体" w:cs="微软雅黑"/>
                <w:b/>
                <w:color w:val="000000"/>
              </w:rPr>
            </w:pPr>
            <w:r>
              <w:rPr>
                <w:rFonts w:hint="eastAsia" w:ascii="宋体" w:hAnsi="宋体" w:cs="微软雅黑"/>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bottom w:val="single" w:color="auto" w:sz="4" w:space="0"/>
            </w:tcBorders>
            <w:shd w:val="clear" w:color="auto" w:fill="auto"/>
            <w:vAlign w:val="center"/>
          </w:tcPr>
          <w:p>
            <w:pPr>
              <w:spacing w:after="10" w:line="252" w:lineRule="auto"/>
              <w:jc w:val="center"/>
              <w:rPr>
                <w:rFonts w:ascii="宋体" w:hAnsi="宋体"/>
                <w:color w:val="000000"/>
              </w:rPr>
            </w:pPr>
            <w:r>
              <w:rPr>
                <w:rFonts w:ascii="宋体" w:hAnsi="宋体"/>
                <w:color w:val="000000"/>
              </w:rPr>
              <w:t>3.1</w:t>
            </w:r>
          </w:p>
        </w:tc>
        <w:tc>
          <w:tcPr>
            <w:tcW w:w="4087" w:type="dxa"/>
            <w:shd w:val="clear" w:color="auto" w:fill="auto"/>
          </w:tcPr>
          <w:p>
            <w:pPr>
              <w:spacing w:line="259" w:lineRule="auto"/>
              <w:jc w:val="left"/>
              <w:rPr>
                <w:rFonts w:ascii="宋体" w:hAnsi="宋体"/>
              </w:rPr>
            </w:pPr>
            <w:r>
              <w:rPr>
                <w:rFonts w:hint="eastAsia" w:ascii="宋体" w:hAnsi="宋体"/>
              </w:rPr>
              <w:t>人员形象及服务态度</w:t>
            </w:r>
            <w:r>
              <w:rPr>
                <w:rFonts w:hint="eastAsia" w:ascii="宋体" w:hAnsi="宋体" w:cs="微软雅黑"/>
                <w:color w:val="000000"/>
              </w:rPr>
              <w:t>（5）</w:t>
            </w:r>
          </w:p>
        </w:tc>
        <w:tc>
          <w:tcPr>
            <w:tcW w:w="1556" w:type="dxa"/>
            <w:gridSpan w:val="2"/>
            <w:shd w:val="clear" w:color="auto" w:fill="auto"/>
          </w:tcPr>
          <w:p>
            <w:pPr>
              <w:spacing w:line="259" w:lineRule="auto"/>
              <w:ind w:left="2"/>
              <w:rPr>
                <w:rFonts w:ascii="宋体" w:hAnsi="宋体"/>
                <w:color w:val="000000"/>
              </w:rPr>
            </w:pPr>
            <w:r>
              <w:rPr>
                <w:rFonts w:ascii="宋体" w:hAnsi="宋体"/>
                <w:color w:val="000000"/>
              </w:rPr>
              <w:t xml:space="preserve"> </w:t>
            </w: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bottom w:val="single" w:color="auto" w:sz="4" w:space="0"/>
            </w:tcBorders>
            <w:shd w:val="clear" w:color="auto" w:fill="auto"/>
            <w:vAlign w:val="center"/>
          </w:tcPr>
          <w:p>
            <w:pPr>
              <w:spacing w:after="10" w:line="252" w:lineRule="auto"/>
              <w:jc w:val="center"/>
              <w:rPr>
                <w:rFonts w:ascii="宋体" w:hAnsi="宋体"/>
                <w:color w:val="000000"/>
              </w:rPr>
            </w:pPr>
            <w:r>
              <w:rPr>
                <w:rFonts w:hint="eastAsia" w:ascii="宋体" w:hAnsi="宋体"/>
                <w:color w:val="000000"/>
              </w:rPr>
              <w:t>3.1.1</w:t>
            </w:r>
          </w:p>
        </w:tc>
        <w:tc>
          <w:tcPr>
            <w:tcW w:w="4087" w:type="dxa"/>
            <w:shd w:val="clear" w:color="auto" w:fill="auto"/>
          </w:tcPr>
          <w:p>
            <w:pPr>
              <w:spacing w:line="259" w:lineRule="auto"/>
              <w:jc w:val="left"/>
              <w:rPr>
                <w:rFonts w:ascii="宋体" w:hAnsi="宋体"/>
              </w:rPr>
            </w:pPr>
            <w:r>
              <w:rPr>
                <w:rFonts w:hint="eastAsia" w:ascii="宋体" w:hAnsi="宋体"/>
              </w:rPr>
              <w:t>上班穿工作服，仪表整洁，精神饱满</w:t>
            </w:r>
          </w:p>
        </w:tc>
        <w:tc>
          <w:tcPr>
            <w:tcW w:w="1556" w:type="dxa"/>
            <w:gridSpan w:val="2"/>
            <w:shd w:val="clear" w:color="auto" w:fill="auto"/>
          </w:tcPr>
          <w:p>
            <w:pPr>
              <w:spacing w:line="259" w:lineRule="auto"/>
              <w:ind w:left="2"/>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bottom w:val="single" w:color="auto" w:sz="4" w:space="0"/>
            </w:tcBorders>
            <w:shd w:val="clear" w:color="auto" w:fill="auto"/>
            <w:vAlign w:val="center"/>
          </w:tcPr>
          <w:p>
            <w:pPr>
              <w:spacing w:after="10" w:line="252" w:lineRule="auto"/>
              <w:jc w:val="center"/>
              <w:rPr>
                <w:rFonts w:ascii="宋体" w:hAnsi="宋体"/>
                <w:color w:val="000000"/>
              </w:rPr>
            </w:pPr>
            <w:r>
              <w:rPr>
                <w:rFonts w:hint="eastAsia" w:ascii="宋体" w:hAnsi="宋体"/>
                <w:color w:val="000000"/>
              </w:rPr>
              <w:t>3.1.2</w:t>
            </w:r>
          </w:p>
        </w:tc>
        <w:tc>
          <w:tcPr>
            <w:tcW w:w="4087" w:type="dxa"/>
            <w:shd w:val="clear" w:color="auto" w:fill="auto"/>
          </w:tcPr>
          <w:p>
            <w:pPr>
              <w:spacing w:line="259" w:lineRule="auto"/>
              <w:jc w:val="left"/>
              <w:rPr>
                <w:rFonts w:ascii="宋体" w:hAnsi="宋体"/>
              </w:rPr>
            </w:pPr>
            <w:r>
              <w:rPr>
                <w:rFonts w:hint="eastAsia" w:ascii="宋体" w:hAnsi="宋体"/>
              </w:rPr>
              <w:t>高架桥作业必须穿反光背心装</w:t>
            </w:r>
          </w:p>
        </w:tc>
        <w:tc>
          <w:tcPr>
            <w:tcW w:w="1556" w:type="dxa"/>
            <w:gridSpan w:val="2"/>
            <w:shd w:val="clear" w:color="auto" w:fill="auto"/>
          </w:tcPr>
          <w:p>
            <w:pPr>
              <w:spacing w:line="259" w:lineRule="auto"/>
              <w:ind w:left="2"/>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bottom w:val="single" w:color="auto" w:sz="4" w:space="0"/>
            </w:tcBorders>
            <w:shd w:val="clear" w:color="auto" w:fill="auto"/>
            <w:vAlign w:val="center"/>
          </w:tcPr>
          <w:p>
            <w:pPr>
              <w:spacing w:after="10" w:line="252" w:lineRule="auto"/>
              <w:jc w:val="center"/>
              <w:rPr>
                <w:rFonts w:ascii="宋体" w:hAnsi="宋体"/>
                <w:color w:val="000000"/>
              </w:rPr>
            </w:pPr>
            <w:r>
              <w:rPr>
                <w:rFonts w:hint="eastAsia" w:ascii="宋体" w:hAnsi="宋体"/>
                <w:color w:val="000000"/>
              </w:rPr>
              <w:t>3.1.3</w:t>
            </w:r>
          </w:p>
        </w:tc>
        <w:tc>
          <w:tcPr>
            <w:tcW w:w="4087" w:type="dxa"/>
            <w:shd w:val="clear" w:color="auto" w:fill="auto"/>
          </w:tcPr>
          <w:p>
            <w:pPr>
              <w:spacing w:line="259" w:lineRule="auto"/>
              <w:jc w:val="left"/>
              <w:rPr>
                <w:rFonts w:ascii="宋体" w:hAnsi="宋体"/>
              </w:rPr>
            </w:pPr>
            <w:r>
              <w:rPr>
                <w:rFonts w:hint="eastAsia" w:ascii="宋体" w:hAnsi="宋体"/>
              </w:rPr>
              <w:t>行为规范，语言文明</w:t>
            </w:r>
          </w:p>
        </w:tc>
        <w:tc>
          <w:tcPr>
            <w:tcW w:w="1556" w:type="dxa"/>
            <w:gridSpan w:val="2"/>
            <w:shd w:val="clear" w:color="auto" w:fill="auto"/>
          </w:tcPr>
          <w:p>
            <w:pPr>
              <w:spacing w:line="259" w:lineRule="auto"/>
              <w:ind w:left="2"/>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bottom w:val="single" w:color="auto" w:sz="4" w:space="0"/>
            </w:tcBorders>
            <w:shd w:val="clear" w:color="auto" w:fill="auto"/>
            <w:vAlign w:val="center"/>
          </w:tcPr>
          <w:p>
            <w:pPr>
              <w:spacing w:after="10" w:line="252" w:lineRule="auto"/>
              <w:jc w:val="center"/>
              <w:rPr>
                <w:rFonts w:ascii="宋体" w:hAnsi="宋体"/>
                <w:color w:val="000000"/>
              </w:rPr>
            </w:pPr>
            <w:r>
              <w:rPr>
                <w:rFonts w:hint="eastAsia" w:ascii="宋体" w:hAnsi="宋体"/>
                <w:color w:val="000000"/>
              </w:rPr>
              <w:t>3.1.4</w:t>
            </w:r>
          </w:p>
        </w:tc>
        <w:tc>
          <w:tcPr>
            <w:tcW w:w="4087" w:type="dxa"/>
            <w:shd w:val="clear" w:color="auto" w:fill="auto"/>
          </w:tcPr>
          <w:p>
            <w:pPr>
              <w:spacing w:line="259" w:lineRule="auto"/>
              <w:jc w:val="left"/>
              <w:rPr>
                <w:rFonts w:ascii="宋体" w:hAnsi="宋体"/>
              </w:rPr>
            </w:pPr>
            <w:r>
              <w:rPr>
                <w:rFonts w:hint="eastAsia" w:ascii="宋体" w:hAnsi="宋体"/>
              </w:rPr>
              <w:t>作业使用专业的工具，保持工具整洁整齐</w:t>
            </w:r>
          </w:p>
        </w:tc>
        <w:tc>
          <w:tcPr>
            <w:tcW w:w="1556" w:type="dxa"/>
            <w:gridSpan w:val="2"/>
            <w:shd w:val="clear" w:color="auto" w:fill="auto"/>
          </w:tcPr>
          <w:p>
            <w:pPr>
              <w:spacing w:line="259" w:lineRule="auto"/>
              <w:ind w:left="2"/>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bottom w:val="single" w:color="auto" w:sz="4" w:space="0"/>
            </w:tcBorders>
            <w:shd w:val="clear" w:color="auto" w:fill="auto"/>
            <w:vAlign w:val="center"/>
          </w:tcPr>
          <w:p>
            <w:pPr>
              <w:spacing w:after="10" w:line="252" w:lineRule="auto"/>
              <w:jc w:val="center"/>
              <w:rPr>
                <w:rFonts w:ascii="宋体" w:hAnsi="宋体"/>
                <w:color w:val="000000"/>
              </w:rPr>
            </w:pPr>
            <w:r>
              <w:rPr>
                <w:rFonts w:hint="eastAsia" w:ascii="宋体" w:hAnsi="宋体"/>
                <w:color w:val="000000"/>
              </w:rPr>
              <w:t>3.1.5</w:t>
            </w:r>
          </w:p>
        </w:tc>
        <w:tc>
          <w:tcPr>
            <w:tcW w:w="4087" w:type="dxa"/>
            <w:shd w:val="clear" w:color="auto" w:fill="auto"/>
          </w:tcPr>
          <w:p>
            <w:pPr>
              <w:spacing w:line="259" w:lineRule="auto"/>
              <w:jc w:val="left"/>
              <w:rPr>
                <w:rFonts w:ascii="宋体" w:hAnsi="宋体"/>
              </w:rPr>
            </w:pPr>
            <w:r>
              <w:rPr>
                <w:rFonts w:hint="eastAsia" w:ascii="宋体" w:hAnsi="宋体"/>
              </w:rPr>
              <w:t>工作中以旅客先行为主，使用礼貌用语，提示过往旅客注意</w:t>
            </w:r>
          </w:p>
        </w:tc>
        <w:tc>
          <w:tcPr>
            <w:tcW w:w="1556" w:type="dxa"/>
            <w:gridSpan w:val="2"/>
            <w:shd w:val="clear" w:color="auto" w:fill="auto"/>
          </w:tcPr>
          <w:p>
            <w:pPr>
              <w:spacing w:line="259" w:lineRule="auto"/>
              <w:ind w:left="2"/>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vAlign w:val="center"/>
          </w:tcPr>
          <w:p>
            <w:pPr>
              <w:spacing w:after="10" w:line="252" w:lineRule="auto"/>
              <w:jc w:val="center"/>
              <w:rPr>
                <w:rFonts w:ascii="宋体" w:hAnsi="宋体"/>
                <w:color w:val="000000"/>
              </w:rPr>
            </w:pPr>
            <w:r>
              <w:rPr>
                <w:rFonts w:ascii="宋体" w:hAnsi="宋体"/>
                <w:color w:val="000000"/>
              </w:rPr>
              <w:t>3.2</w:t>
            </w:r>
          </w:p>
        </w:tc>
        <w:tc>
          <w:tcPr>
            <w:tcW w:w="4087" w:type="dxa"/>
            <w:shd w:val="clear" w:color="auto" w:fill="auto"/>
            <w:vAlign w:val="center"/>
          </w:tcPr>
          <w:p>
            <w:pPr>
              <w:spacing w:line="259" w:lineRule="auto"/>
              <w:jc w:val="left"/>
              <w:rPr>
                <w:rFonts w:ascii="宋体" w:hAnsi="宋体"/>
              </w:rPr>
            </w:pPr>
            <w:r>
              <w:rPr>
                <w:rFonts w:hint="eastAsia" w:ascii="宋体" w:hAnsi="宋体"/>
              </w:rPr>
              <w:t>服务质量</w:t>
            </w:r>
            <w:r>
              <w:rPr>
                <w:rFonts w:hint="eastAsia" w:ascii="宋体" w:hAnsi="宋体" w:cs="微软雅黑"/>
                <w:color w:val="000000"/>
              </w:rPr>
              <w:t>（10）</w:t>
            </w:r>
          </w:p>
        </w:tc>
        <w:tc>
          <w:tcPr>
            <w:tcW w:w="1556" w:type="dxa"/>
            <w:gridSpan w:val="2"/>
            <w:shd w:val="clear" w:color="auto" w:fill="auto"/>
          </w:tcPr>
          <w:p>
            <w:pPr>
              <w:spacing w:line="259" w:lineRule="auto"/>
              <w:rPr>
                <w:rFonts w:ascii="宋体" w:hAnsi="宋体"/>
                <w:color w:val="000000"/>
              </w:rPr>
            </w:pPr>
            <w:r>
              <w:rPr>
                <w:rFonts w:ascii="宋体" w:hAnsi="宋体"/>
                <w:color w:val="000000"/>
              </w:rPr>
              <w:t xml:space="preserve"> </w:t>
            </w: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vAlign w:val="center"/>
          </w:tcPr>
          <w:p>
            <w:pPr>
              <w:spacing w:after="10" w:line="252" w:lineRule="auto"/>
              <w:jc w:val="center"/>
              <w:rPr>
                <w:rFonts w:ascii="宋体" w:hAnsi="宋体"/>
                <w:color w:val="000000"/>
              </w:rPr>
            </w:pPr>
            <w:r>
              <w:rPr>
                <w:rFonts w:hint="eastAsia" w:ascii="宋体" w:hAnsi="宋体"/>
                <w:color w:val="000000"/>
              </w:rPr>
              <w:t>3.2.1</w:t>
            </w:r>
          </w:p>
        </w:tc>
        <w:tc>
          <w:tcPr>
            <w:tcW w:w="4087" w:type="dxa"/>
            <w:shd w:val="clear" w:color="auto" w:fill="auto"/>
            <w:vAlign w:val="center"/>
          </w:tcPr>
          <w:p>
            <w:pPr>
              <w:spacing w:line="259" w:lineRule="auto"/>
              <w:jc w:val="left"/>
              <w:rPr>
                <w:rFonts w:ascii="宋体" w:hAnsi="宋体"/>
              </w:rPr>
            </w:pPr>
            <w:r>
              <w:rPr>
                <w:rFonts w:hint="eastAsia" w:ascii="宋体" w:hAnsi="宋体"/>
              </w:rPr>
              <w:t>建立日常巡查制度，并做好相关台账</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vAlign w:val="center"/>
          </w:tcPr>
          <w:p>
            <w:pPr>
              <w:spacing w:after="10" w:line="252" w:lineRule="auto"/>
              <w:jc w:val="center"/>
              <w:rPr>
                <w:rFonts w:ascii="宋体" w:hAnsi="宋体"/>
                <w:color w:val="000000"/>
              </w:rPr>
            </w:pPr>
            <w:r>
              <w:rPr>
                <w:rFonts w:hint="eastAsia" w:ascii="宋体" w:hAnsi="宋体"/>
                <w:color w:val="000000"/>
              </w:rPr>
              <w:t>3.2.2</w:t>
            </w:r>
          </w:p>
        </w:tc>
        <w:tc>
          <w:tcPr>
            <w:tcW w:w="4087" w:type="dxa"/>
            <w:shd w:val="clear" w:color="auto" w:fill="auto"/>
            <w:vAlign w:val="center"/>
          </w:tcPr>
          <w:p>
            <w:pPr>
              <w:spacing w:line="259" w:lineRule="auto"/>
              <w:jc w:val="left"/>
              <w:rPr>
                <w:rFonts w:ascii="宋体" w:hAnsi="宋体"/>
              </w:rPr>
            </w:pPr>
            <w:r>
              <w:rPr>
                <w:rFonts w:hint="eastAsia" w:ascii="宋体" w:hAnsi="宋体"/>
              </w:rPr>
              <w:t>做好日常问题整改报表</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423" w:hRule="atLeast"/>
          <w:jc w:val="center"/>
        </w:trPr>
        <w:tc>
          <w:tcPr>
            <w:tcW w:w="1208" w:type="dxa"/>
            <w:tcBorders>
              <w:top w:val="single" w:color="auto" w:sz="4" w:space="0"/>
              <w:bottom w:val="single" w:color="auto" w:sz="4" w:space="0"/>
            </w:tcBorders>
            <w:shd w:val="clear" w:color="auto" w:fill="auto"/>
            <w:vAlign w:val="center"/>
          </w:tcPr>
          <w:p>
            <w:pPr>
              <w:spacing w:after="10" w:line="252" w:lineRule="auto"/>
              <w:jc w:val="center"/>
              <w:rPr>
                <w:rFonts w:ascii="宋体" w:hAnsi="宋体"/>
                <w:color w:val="000000"/>
              </w:rPr>
            </w:pPr>
            <w:r>
              <w:rPr>
                <w:rFonts w:hint="eastAsia" w:ascii="宋体" w:hAnsi="宋体"/>
                <w:color w:val="000000"/>
              </w:rPr>
              <w:t>3.2.3</w:t>
            </w:r>
          </w:p>
        </w:tc>
        <w:tc>
          <w:tcPr>
            <w:tcW w:w="4087" w:type="dxa"/>
            <w:shd w:val="clear" w:color="auto" w:fill="auto"/>
            <w:vAlign w:val="center"/>
          </w:tcPr>
          <w:p>
            <w:pPr>
              <w:spacing w:line="259" w:lineRule="auto"/>
              <w:jc w:val="left"/>
              <w:rPr>
                <w:rFonts w:ascii="宋体" w:hAnsi="宋体"/>
              </w:rPr>
            </w:pPr>
            <w:r>
              <w:rPr>
                <w:rFonts w:hint="eastAsia" w:ascii="宋体" w:hAnsi="宋体"/>
              </w:rPr>
              <w:t>绿色植物质量要求</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vAlign w:val="center"/>
          </w:tcPr>
          <w:p>
            <w:pPr>
              <w:spacing w:after="10" w:line="252" w:lineRule="auto"/>
              <w:jc w:val="center"/>
              <w:rPr>
                <w:rFonts w:ascii="宋体" w:hAnsi="宋体"/>
                <w:color w:val="000000"/>
              </w:rPr>
            </w:pPr>
            <w:r>
              <w:rPr>
                <w:rFonts w:hint="eastAsia" w:ascii="宋体" w:hAnsi="宋体"/>
                <w:color w:val="000000"/>
              </w:rPr>
              <w:t>3.2.4</w:t>
            </w:r>
          </w:p>
        </w:tc>
        <w:tc>
          <w:tcPr>
            <w:tcW w:w="4087" w:type="dxa"/>
            <w:shd w:val="clear" w:color="auto" w:fill="auto"/>
            <w:vAlign w:val="center"/>
          </w:tcPr>
          <w:p>
            <w:pPr>
              <w:spacing w:line="259" w:lineRule="auto"/>
              <w:jc w:val="left"/>
              <w:rPr>
                <w:rFonts w:ascii="宋体" w:hAnsi="宋体"/>
              </w:rPr>
            </w:pPr>
            <w:r>
              <w:rPr>
                <w:rFonts w:hint="eastAsia" w:ascii="宋体" w:hAnsi="宋体"/>
              </w:rPr>
              <w:t>花卉质量要求</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vAlign w:val="center"/>
          </w:tcPr>
          <w:p>
            <w:pPr>
              <w:spacing w:after="10" w:line="252" w:lineRule="auto"/>
              <w:jc w:val="center"/>
              <w:rPr>
                <w:rFonts w:ascii="宋体" w:hAnsi="宋体"/>
                <w:color w:val="000000"/>
              </w:rPr>
            </w:pPr>
            <w:r>
              <w:rPr>
                <w:rFonts w:hint="eastAsia" w:ascii="宋体" w:hAnsi="宋体"/>
                <w:color w:val="000000"/>
              </w:rPr>
              <w:t>3.2.5</w:t>
            </w:r>
          </w:p>
        </w:tc>
        <w:tc>
          <w:tcPr>
            <w:tcW w:w="4087" w:type="dxa"/>
            <w:shd w:val="clear" w:color="auto" w:fill="auto"/>
            <w:vAlign w:val="center"/>
          </w:tcPr>
          <w:p>
            <w:pPr>
              <w:spacing w:line="259" w:lineRule="auto"/>
              <w:jc w:val="left"/>
              <w:rPr>
                <w:rFonts w:ascii="宋体" w:hAnsi="宋体"/>
              </w:rPr>
            </w:pPr>
            <w:r>
              <w:rPr>
                <w:rFonts w:hint="eastAsia" w:ascii="宋体" w:hAnsi="宋体"/>
              </w:rPr>
              <w:t>进场验收要求</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vAlign w:val="center"/>
          </w:tcPr>
          <w:p>
            <w:pPr>
              <w:spacing w:after="10" w:line="252" w:lineRule="auto"/>
              <w:jc w:val="center"/>
              <w:rPr>
                <w:rFonts w:ascii="宋体" w:hAnsi="宋体"/>
                <w:color w:val="000000"/>
              </w:rPr>
            </w:pPr>
            <w:r>
              <w:rPr>
                <w:rFonts w:hint="eastAsia" w:ascii="宋体" w:hAnsi="宋体"/>
                <w:color w:val="000000"/>
              </w:rPr>
              <w:t>3.2.6</w:t>
            </w:r>
          </w:p>
        </w:tc>
        <w:tc>
          <w:tcPr>
            <w:tcW w:w="4087" w:type="dxa"/>
            <w:shd w:val="clear" w:color="auto" w:fill="auto"/>
            <w:vAlign w:val="center"/>
          </w:tcPr>
          <w:p>
            <w:pPr>
              <w:spacing w:line="259" w:lineRule="auto"/>
              <w:jc w:val="left"/>
              <w:rPr>
                <w:rFonts w:ascii="宋体" w:hAnsi="宋体"/>
              </w:rPr>
            </w:pPr>
            <w:r>
              <w:rPr>
                <w:rFonts w:hint="eastAsia" w:ascii="宋体" w:hAnsi="宋体"/>
              </w:rPr>
              <w:t>盆花布置质量</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vAlign w:val="center"/>
          </w:tcPr>
          <w:p>
            <w:pPr>
              <w:spacing w:after="10" w:line="252" w:lineRule="auto"/>
              <w:jc w:val="center"/>
              <w:rPr>
                <w:rFonts w:ascii="宋体" w:hAnsi="宋体"/>
                <w:color w:val="000000"/>
              </w:rPr>
            </w:pPr>
            <w:r>
              <w:rPr>
                <w:rFonts w:hint="eastAsia" w:ascii="宋体" w:hAnsi="宋体"/>
                <w:color w:val="000000"/>
              </w:rPr>
              <w:t>3.2.7</w:t>
            </w:r>
          </w:p>
        </w:tc>
        <w:tc>
          <w:tcPr>
            <w:tcW w:w="4087" w:type="dxa"/>
            <w:shd w:val="clear" w:color="auto" w:fill="auto"/>
            <w:vAlign w:val="center"/>
          </w:tcPr>
          <w:p>
            <w:pPr>
              <w:spacing w:line="259" w:lineRule="auto"/>
              <w:jc w:val="left"/>
              <w:rPr>
                <w:rFonts w:ascii="宋体" w:hAnsi="宋体"/>
              </w:rPr>
            </w:pPr>
            <w:r>
              <w:rPr>
                <w:rFonts w:hint="eastAsia" w:ascii="宋体" w:hAnsi="宋体"/>
              </w:rPr>
              <w:t>植物和花卉套盆要求</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vAlign w:val="center"/>
          </w:tcPr>
          <w:p>
            <w:pPr>
              <w:spacing w:after="10" w:line="252" w:lineRule="auto"/>
              <w:jc w:val="center"/>
              <w:rPr>
                <w:rFonts w:ascii="宋体" w:hAnsi="宋体"/>
                <w:color w:val="000000"/>
              </w:rPr>
            </w:pPr>
            <w:r>
              <w:rPr>
                <w:rFonts w:hint="eastAsia" w:ascii="宋体" w:hAnsi="宋体"/>
                <w:color w:val="000000"/>
              </w:rPr>
              <w:t>3.2.8</w:t>
            </w:r>
          </w:p>
        </w:tc>
        <w:tc>
          <w:tcPr>
            <w:tcW w:w="4087" w:type="dxa"/>
            <w:shd w:val="clear" w:color="auto" w:fill="auto"/>
          </w:tcPr>
          <w:p>
            <w:pPr>
              <w:spacing w:line="259" w:lineRule="auto"/>
              <w:jc w:val="left"/>
              <w:rPr>
                <w:rFonts w:ascii="宋体" w:hAnsi="宋体"/>
              </w:rPr>
            </w:pPr>
            <w:r>
              <w:rPr>
                <w:rFonts w:hint="eastAsia" w:ascii="宋体" w:hAnsi="宋体"/>
              </w:rPr>
              <w:t>人员作业规范要求</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vAlign w:val="center"/>
          </w:tcPr>
          <w:p>
            <w:pPr>
              <w:spacing w:after="10" w:line="252" w:lineRule="auto"/>
              <w:jc w:val="center"/>
              <w:rPr>
                <w:rFonts w:ascii="宋体" w:hAnsi="宋体"/>
                <w:color w:val="000000"/>
              </w:rPr>
            </w:pPr>
            <w:r>
              <w:rPr>
                <w:rFonts w:hint="eastAsia" w:ascii="宋体" w:hAnsi="宋体"/>
                <w:color w:val="000000"/>
              </w:rPr>
              <w:t>3.2.9</w:t>
            </w:r>
          </w:p>
        </w:tc>
        <w:tc>
          <w:tcPr>
            <w:tcW w:w="4087" w:type="dxa"/>
            <w:shd w:val="clear" w:color="auto" w:fill="auto"/>
          </w:tcPr>
          <w:p>
            <w:pPr>
              <w:spacing w:line="259" w:lineRule="auto"/>
              <w:jc w:val="left"/>
              <w:rPr>
                <w:rFonts w:ascii="宋体" w:hAnsi="宋体"/>
              </w:rPr>
            </w:pPr>
            <w:r>
              <w:rPr>
                <w:rFonts w:hint="eastAsia" w:ascii="宋体" w:hAnsi="宋体"/>
              </w:rPr>
              <w:t>周期性工作规范要求</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after="10" w:line="252" w:lineRule="auto"/>
              <w:jc w:val="center"/>
              <w:rPr>
                <w:rFonts w:ascii="宋体" w:hAnsi="宋体"/>
                <w:color w:val="000000"/>
              </w:rPr>
            </w:pPr>
            <w:r>
              <w:rPr>
                <w:rFonts w:hint="eastAsia" w:ascii="宋体" w:hAnsi="宋体"/>
                <w:color w:val="000000"/>
              </w:rPr>
              <w:t>3.2.10</w:t>
            </w:r>
          </w:p>
        </w:tc>
        <w:tc>
          <w:tcPr>
            <w:tcW w:w="4087" w:type="dxa"/>
            <w:shd w:val="clear" w:color="auto" w:fill="auto"/>
          </w:tcPr>
          <w:p>
            <w:pPr>
              <w:spacing w:line="259" w:lineRule="auto"/>
              <w:jc w:val="left"/>
              <w:rPr>
                <w:rFonts w:ascii="宋体" w:hAnsi="宋体"/>
              </w:rPr>
            </w:pPr>
            <w:r>
              <w:rPr>
                <w:rFonts w:hint="eastAsia" w:ascii="宋体" w:hAnsi="宋体"/>
              </w:rPr>
              <w:t>盆花摆放布置标准</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after="10" w:line="252" w:lineRule="auto"/>
              <w:jc w:val="center"/>
              <w:rPr>
                <w:rFonts w:ascii="宋体" w:hAnsi="宋体"/>
                <w:color w:val="000000"/>
              </w:rPr>
            </w:pPr>
            <w:r>
              <w:rPr>
                <w:rFonts w:hint="eastAsia" w:ascii="宋体" w:hAnsi="宋体"/>
                <w:color w:val="000000"/>
              </w:rPr>
              <w:t>3.2.10.1</w:t>
            </w:r>
          </w:p>
        </w:tc>
        <w:tc>
          <w:tcPr>
            <w:tcW w:w="4087" w:type="dxa"/>
            <w:shd w:val="clear" w:color="auto" w:fill="auto"/>
          </w:tcPr>
          <w:p>
            <w:pPr>
              <w:spacing w:line="259" w:lineRule="auto"/>
              <w:jc w:val="left"/>
              <w:rPr>
                <w:rFonts w:ascii="宋体" w:hAnsi="宋体"/>
              </w:rPr>
            </w:pPr>
            <w:r>
              <w:rPr>
                <w:rFonts w:hint="eastAsia" w:ascii="宋体" w:hAnsi="宋体"/>
              </w:rPr>
              <w:t>不与机场功能性设施、人车流线相冲突。</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after="10" w:line="252" w:lineRule="auto"/>
              <w:jc w:val="center"/>
              <w:rPr>
                <w:rFonts w:ascii="宋体" w:hAnsi="宋体"/>
                <w:color w:val="000000"/>
              </w:rPr>
            </w:pPr>
            <w:r>
              <w:rPr>
                <w:rFonts w:hint="eastAsia" w:ascii="宋体" w:hAnsi="宋体"/>
                <w:color w:val="000000"/>
              </w:rPr>
              <w:t>3.2.10.2</w:t>
            </w:r>
          </w:p>
        </w:tc>
        <w:tc>
          <w:tcPr>
            <w:tcW w:w="4087" w:type="dxa"/>
            <w:shd w:val="clear" w:color="auto" w:fill="auto"/>
          </w:tcPr>
          <w:p>
            <w:pPr>
              <w:spacing w:line="259" w:lineRule="auto"/>
              <w:jc w:val="left"/>
              <w:rPr>
                <w:rFonts w:ascii="宋体" w:hAnsi="宋体"/>
              </w:rPr>
            </w:pPr>
            <w:r>
              <w:rPr>
                <w:rFonts w:hint="eastAsia" w:ascii="宋体" w:hAnsi="宋体"/>
              </w:rPr>
              <w:t>盆花的品种、规格和位置、数量应符合要求。</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after="10" w:line="252" w:lineRule="auto"/>
              <w:jc w:val="center"/>
              <w:rPr>
                <w:rFonts w:ascii="宋体" w:hAnsi="宋体"/>
                <w:color w:val="000000"/>
              </w:rPr>
            </w:pPr>
            <w:r>
              <w:rPr>
                <w:rFonts w:hint="eastAsia" w:ascii="宋体" w:hAnsi="宋体"/>
                <w:color w:val="000000"/>
              </w:rPr>
              <w:t>3.2.10.3</w:t>
            </w:r>
          </w:p>
        </w:tc>
        <w:tc>
          <w:tcPr>
            <w:tcW w:w="4087" w:type="dxa"/>
            <w:shd w:val="clear" w:color="auto" w:fill="auto"/>
          </w:tcPr>
          <w:p>
            <w:pPr>
              <w:spacing w:line="259" w:lineRule="auto"/>
              <w:jc w:val="left"/>
              <w:rPr>
                <w:rFonts w:ascii="宋体" w:hAnsi="宋体"/>
              </w:rPr>
            </w:pPr>
            <w:r>
              <w:rPr>
                <w:rFonts w:hint="eastAsia" w:ascii="宋体" w:hAnsi="宋体"/>
              </w:rPr>
              <w:t>花器、托盆、盆花应与环境一致</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after="10" w:line="252" w:lineRule="auto"/>
              <w:jc w:val="center"/>
              <w:rPr>
                <w:rFonts w:ascii="宋体" w:hAnsi="宋体"/>
                <w:color w:val="000000"/>
              </w:rPr>
            </w:pPr>
            <w:r>
              <w:rPr>
                <w:rFonts w:hint="eastAsia" w:ascii="宋体" w:hAnsi="宋体"/>
                <w:color w:val="000000"/>
              </w:rPr>
              <w:t>3.2.10.4</w:t>
            </w:r>
          </w:p>
        </w:tc>
        <w:tc>
          <w:tcPr>
            <w:tcW w:w="4087" w:type="dxa"/>
            <w:shd w:val="clear" w:color="auto" w:fill="auto"/>
          </w:tcPr>
          <w:p>
            <w:pPr>
              <w:spacing w:line="259" w:lineRule="auto"/>
              <w:jc w:val="left"/>
              <w:rPr>
                <w:rFonts w:ascii="宋体" w:hAnsi="宋体"/>
              </w:rPr>
            </w:pPr>
            <w:r>
              <w:rPr>
                <w:rFonts w:hint="eastAsia" w:ascii="宋体" w:hAnsi="宋体"/>
              </w:rPr>
              <w:t>花器与周边环境相协调。</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after="10" w:line="252" w:lineRule="auto"/>
              <w:jc w:val="center"/>
              <w:rPr>
                <w:rFonts w:ascii="宋体" w:hAnsi="宋体"/>
                <w:color w:val="000000"/>
              </w:rPr>
            </w:pPr>
            <w:r>
              <w:rPr>
                <w:rFonts w:hint="eastAsia" w:ascii="宋体" w:hAnsi="宋体"/>
                <w:color w:val="000000"/>
              </w:rPr>
              <w:t>3.2.10.5</w:t>
            </w:r>
          </w:p>
        </w:tc>
        <w:tc>
          <w:tcPr>
            <w:tcW w:w="4087" w:type="dxa"/>
            <w:shd w:val="clear" w:color="auto" w:fill="auto"/>
          </w:tcPr>
          <w:p>
            <w:pPr>
              <w:spacing w:line="259" w:lineRule="auto"/>
              <w:jc w:val="left"/>
              <w:rPr>
                <w:rFonts w:ascii="宋体" w:hAnsi="宋体"/>
              </w:rPr>
            </w:pPr>
            <w:r>
              <w:rPr>
                <w:rFonts w:hint="eastAsia" w:ascii="宋体" w:hAnsi="宋体"/>
              </w:rPr>
              <w:t>同一公共区域花器的颜色、材质、种类相同。</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after="10" w:line="252" w:lineRule="auto"/>
              <w:jc w:val="center"/>
              <w:rPr>
                <w:rFonts w:ascii="宋体" w:hAnsi="宋体"/>
                <w:color w:val="000000"/>
              </w:rPr>
            </w:pPr>
            <w:r>
              <w:rPr>
                <w:rFonts w:hint="eastAsia" w:ascii="宋体" w:hAnsi="宋体"/>
                <w:color w:val="000000"/>
              </w:rPr>
              <w:t>3.2.10.6</w:t>
            </w:r>
          </w:p>
        </w:tc>
        <w:tc>
          <w:tcPr>
            <w:tcW w:w="4087" w:type="dxa"/>
            <w:shd w:val="clear" w:color="auto" w:fill="auto"/>
          </w:tcPr>
          <w:p>
            <w:pPr>
              <w:spacing w:line="259" w:lineRule="auto"/>
              <w:jc w:val="left"/>
              <w:rPr>
                <w:rFonts w:ascii="宋体" w:hAnsi="宋体"/>
              </w:rPr>
            </w:pPr>
            <w:r>
              <w:rPr>
                <w:rFonts w:hint="eastAsia" w:ascii="宋体" w:hAnsi="宋体"/>
              </w:rPr>
              <w:t>花器每季度进行防水检测一次。</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after="10" w:line="252" w:lineRule="auto"/>
              <w:jc w:val="center"/>
              <w:rPr>
                <w:rFonts w:ascii="宋体" w:hAnsi="宋体"/>
                <w:color w:val="000000"/>
              </w:rPr>
            </w:pPr>
            <w:r>
              <w:rPr>
                <w:rFonts w:hint="eastAsia" w:ascii="宋体" w:hAnsi="宋体"/>
                <w:color w:val="000000"/>
              </w:rPr>
              <w:t>3.2.10.7</w:t>
            </w:r>
          </w:p>
        </w:tc>
        <w:tc>
          <w:tcPr>
            <w:tcW w:w="4087" w:type="dxa"/>
            <w:shd w:val="clear" w:color="auto" w:fill="auto"/>
          </w:tcPr>
          <w:p>
            <w:pPr>
              <w:spacing w:line="259" w:lineRule="auto"/>
              <w:jc w:val="left"/>
              <w:rPr>
                <w:rFonts w:ascii="宋体" w:hAnsi="宋体"/>
              </w:rPr>
            </w:pPr>
            <w:r>
              <w:rPr>
                <w:rFonts w:hint="eastAsia" w:ascii="宋体" w:hAnsi="宋体"/>
              </w:rPr>
              <w:t>花堆设置增加阻燃隔水毯。</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after="10" w:line="252" w:lineRule="auto"/>
              <w:jc w:val="center"/>
              <w:rPr>
                <w:rFonts w:ascii="宋体" w:hAnsi="宋体"/>
                <w:color w:val="000000"/>
              </w:rPr>
            </w:pPr>
            <w:r>
              <w:rPr>
                <w:rFonts w:hint="eastAsia" w:ascii="宋体" w:hAnsi="宋体"/>
                <w:color w:val="000000"/>
              </w:rPr>
              <w:t>3.2.11</w:t>
            </w:r>
          </w:p>
        </w:tc>
        <w:tc>
          <w:tcPr>
            <w:tcW w:w="4087" w:type="dxa"/>
            <w:shd w:val="clear" w:color="auto" w:fill="auto"/>
          </w:tcPr>
          <w:p>
            <w:pPr>
              <w:spacing w:line="259" w:lineRule="auto"/>
              <w:jc w:val="left"/>
              <w:rPr>
                <w:rFonts w:ascii="宋体" w:hAnsi="宋体"/>
              </w:rPr>
            </w:pPr>
            <w:r>
              <w:rPr>
                <w:rFonts w:hint="eastAsia" w:ascii="宋体" w:hAnsi="宋体"/>
              </w:rPr>
              <w:t>修剪</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after="10" w:line="252" w:lineRule="auto"/>
              <w:jc w:val="center"/>
              <w:rPr>
                <w:rFonts w:ascii="宋体" w:hAnsi="宋体"/>
                <w:color w:val="000000"/>
              </w:rPr>
            </w:pPr>
            <w:r>
              <w:rPr>
                <w:rFonts w:hint="eastAsia" w:ascii="宋体" w:hAnsi="宋体"/>
                <w:color w:val="000000"/>
              </w:rPr>
              <w:t>3.2.11.1</w:t>
            </w:r>
          </w:p>
        </w:tc>
        <w:tc>
          <w:tcPr>
            <w:tcW w:w="4087" w:type="dxa"/>
            <w:shd w:val="clear" w:color="auto" w:fill="auto"/>
          </w:tcPr>
          <w:p>
            <w:pPr>
              <w:spacing w:line="259" w:lineRule="auto"/>
              <w:jc w:val="left"/>
              <w:rPr>
                <w:rFonts w:ascii="宋体" w:hAnsi="宋体"/>
              </w:rPr>
            </w:pPr>
            <w:r>
              <w:rPr>
                <w:rFonts w:hint="eastAsia" w:ascii="宋体" w:hAnsi="宋体"/>
              </w:rPr>
              <w:t>同一区域内同一品种盆花的高度保持一致</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after="10" w:line="252" w:lineRule="auto"/>
              <w:jc w:val="center"/>
              <w:rPr>
                <w:rFonts w:ascii="宋体" w:hAnsi="宋体"/>
                <w:color w:val="000000"/>
              </w:rPr>
            </w:pPr>
            <w:r>
              <w:rPr>
                <w:rFonts w:hint="eastAsia" w:ascii="宋体" w:hAnsi="宋体"/>
                <w:color w:val="000000"/>
              </w:rPr>
              <w:t>3.2.11.2</w:t>
            </w:r>
          </w:p>
        </w:tc>
        <w:tc>
          <w:tcPr>
            <w:tcW w:w="4087" w:type="dxa"/>
            <w:shd w:val="clear" w:color="auto" w:fill="auto"/>
          </w:tcPr>
          <w:p>
            <w:pPr>
              <w:spacing w:line="259" w:lineRule="auto"/>
              <w:jc w:val="left"/>
              <w:rPr>
                <w:rFonts w:ascii="宋体" w:hAnsi="宋体"/>
              </w:rPr>
            </w:pPr>
            <w:r>
              <w:rPr>
                <w:rFonts w:hint="eastAsia" w:ascii="宋体" w:hAnsi="宋体"/>
              </w:rPr>
              <w:t>每季度至少对所有租摆植物进行一次修剪。</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after="10" w:line="252" w:lineRule="auto"/>
              <w:jc w:val="center"/>
              <w:rPr>
                <w:rFonts w:ascii="宋体" w:hAnsi="宋体"/>
                <w:color w:val="000000"/>
              </w:rPr>
            </w:pPr>
            <w:r>
              <w:rPr>
                <w:rFonts w:hint="eastAsia" w:ascii="宋体" w:hAnsi="宋体"/>
                <w:color w:val="000000"/>
              </w:rPr>
              <w:t>3.2.12</w:t>
            </w:r>
          </w:p>
        </w:tc>
        <w:tc>
          <w:tcPr>
            <w:tcW w:w="4087" w:type="dxa"/>
            <w:shd w:val="clear" w:color="auto" w:fill="auto"/>
          </w:tcPr>
          <w:p>
            <w:pPr>
              <w:spacing w:line="259" w:lineRule="auto"/>
              <w:jc w:val="left"/>
              <w:rPr>
                <w:rFonts w:ascii="宋体" w:hAnsi="宋体"/>
              </w:rPr>
            </w:pPr>
            <w:r>
              <w:rPr>
                <w:rFonts w:hint="eastAsia" w:ascii="宋体" w:hAnsi="宋体"/>
              </w:rPr>
              <w:t>调换</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after="10" w:line="252" w:lineRule="auto"/>
              <w:jc w:val="center"/>
              <w:rPr>
                <w:rFonts w:ascii="宋体" w:hAnsi="宋体"/>
                <w:color w:val="000000"/>
              </w:rPr>
            </w:pPr>
            <w:r>
              <w:rPr>
                <w:rFonts w:hint="eastAsia" w:ascii="宋体" w:hAnsi="宋体"/>
                <w:color w:val="000000"/>
              </w:rPr>
              <w:t>3.2.12.1</w:t>
            </w:r>
          </w:p>
        </w:tc>
        <w:tc>
          <w:tcPr>
            <w:tcW w:w="4087" w:type="dxa"/>
            <w:shd w:val="clear" w:color="auto" w:fill="auto"/>
          </w:tcPr>
          <w:p>
            <w:pPr>
              <w:spacing w:line="259" w:lineRule="auto"/>
              <w:jc w:val="left"/>
              <w:rPr>
                <w:rFonts w:ascii="宋体" w:hAnsi="宋体"/>
              </w:rPr>
            </w:pPr>
            <w:r>
              <w:rPr>
                <w:rFonts w:hint="eastAsia" w:ascii="宋体" w:hAnsi="宋体"/>
              </w:rPr>
              <w:t>根据不同季节和花卉生长情况及时更换</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vAlign w:val="center"/>
          </w:tcPr>
          <w:p>
            <w:pPr>
              <w:spacing w:after="10" w:line="252" w:lineRule="auto"/>
              <w:jc w:val="center"/>
              <w:rPr>
                <w:rFonts w:ascii="宋体" w:hAnsi="宋体"/>
                <w:color w:val="000000"/>
              </w:rPr>
            </w:pPr>
            <w:r>
              <w:rPr>
                <w:rFonts w:hint="eastAsia" w:ascii="宋体" w:hAnsi="宋体"/>
                <w:color w:val="000000"/>
              </w:rPr>
              <w:t>3.2.13</w:t>
            </w:r>
          </w:p>
        </w:tc>
        <w:tc>
          <w:tcPr>
            <w:tcW w:w="4087" w:type="dxa"/>
            <w:shd w:val="clear" w:color="auto" w:fill="auto"/>
          </w:tcPr>
          <w:p>
            <w:pPr>
              <w:spacing w:line="259" w:lineRule="auto"/>
              <w:jc w:val="left"/>
              <w:rPr>
                <w:rFonts w:ascii="宋体" w:hAnsi="宋体"/>
              </w:rPr>
            </w:pPr>
            <w:r>
              <w:rPr>
                <w:rFonts w:hint="eastAsia" w:ascii="宋体" w:hAnsi="宋体"/>
              </w:rPr>
              <w:t>养护</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vAlign w:val="center"/>
          </w:tcPr>
          <w:p>
            <w:pPr>
              <w:spacing w:after="10" w:line="252" w:lineRule="auto"/>
              <w:jc w:val="center"/>
              <w:rPr>
                <w:rFonts w:ascii="宋体" w:hAnsi="宋体"/>
                <w:color w:val="000000"/>
              </w:rPr>
            </w:pPr>
            <w:r>
              <w:rPr>
                <w:rFonts w:hint="eastAsia" w:ascii="宋体" w:hAnsi="宋体"/>
                <w:color w:val="000000"/>
              </w:rPr>
              <w:t>3.2.13.1</w:t>
            </w:r>
          </w:p>
        </w:tc>
        <w:tc>
          <w:tcPr>
            <w:tcW w:w="4087" w:type="dxa"/>
            <w:shd w:val="clear" w:color="auto" w:fill="auto"/>
          </w:tcPr>
          <w:p>
            <w:pPr>
              <w:spacing w:line="259" w:lineRule="auto"/>
              <w:jc w:val="left"/>
              <w:rPr>
                <w:rFonts w:ascii="宋体" w:hAnsi="宋体"/>
              </w:rPr>
            </w:pPr>
            <w:r>
              <w:rPr>
                <w:rFonts w:hint="eastAsia" w:ascii="宋体" w:hAnsi="宋体"/>
              </w:rPr>
              <w:t>杜绝浇水溢出等不利于盆花养护现象。</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vAlign w:val="center"/>
          </w:tcPr>
          <w:p>
            <w:pPr>
              <w:spacing w:after="10" w:line="252" w:lineRule="auto"/>
              <w:jc w:val="center"/>
              <w:rPr>
                <w:rFonts w:ascii="宋体" w:hAnsi="宋体"/>
                <w:color w:val="000000"/>
              </w:rPr>
            </w:pPr>
            <w:r>
              <w:rPr>
                <w:rFonts w:hint="eastAsia" w:ascii="宋体" w:hAnsi="宋体"/>
                <w:color w:val="000000"/>
              </w:rPr>
              <w:t>3.2.13.2</w:t>
            </w:r>
          </w:p>
        </w:tc>
        <w:tc>
          <w:tcPr>
            <w:tcW w:w="4087" w:type="dxa"/>
            <w:shd w:val="clear" w:color="auto" w:fill="auto"/>
          </w:tcPr>
          <w:p>
            <w:pPr>
              <w:spacing w:line="259" w:lineRule="auto"/>
              <w:jc w:val="left"/>
              <w:rPr>
                <w:rFonts w:ascii="宋体" w:hAnsi="宋体"/>
              </w:rPr>
            </w:pPr>
            <w:r>
              <w:rPr>
                <w:rFonts w:hint="eastAsia" w:ascii="宋体" w:hAnsi="宋体"/>
              </w:rPr>
              <w:t>及时清除盆花内各类杂草。</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vAlign w:val="center"/>
          </w:tcPr>
          <w:p>
            <w:pPr>
              <w:spacing w:after="10" w:line="252" w:lineRule="auto"/>
              <w:jc w:val="center"/>
              <w:rPr>
                <w:rFonts w:ascii="宋体" w:hAnsi="宋体"/>
                <w:color w:val="000000"/>
              </w:rPr>
            </w:pPr>
            <w:r>
              <w:rPr>
                <w:rFonts w:hint="eastAsia" w:ascii="宋体" w:hAnsi="宋体"/>
                <w:color w:val="000000"/>
              </w:rPr>
              <w:t>3.2.13.3</w:t>
            </w:r>
          </w:p>
        </w:tc>
        <w:tc>
          <w:tcPr>
            <w:tcW w:w="4087" w:type="dxa"/>
            <w:shd w:val="clear" w:color="auto" w:fill="auto"/>
          </w:tcPr>
          <w:p>
            <w:pPr>
              <w:spacing w:line="259" w:lineRule="auto"/>
              <w:jc w:val="left"/>
              <w:rPr>
                <w:rFonts w:ascii="宋体" w:hAnsi="宋体"/>
              </w:rPr>
            </w:pPr>
            <w:r>
              <w:rPr>
                <w:rFonts w:hint="eastAsia" w:ascii="宋体" w:hAnsi="宋体"/>
              </w:rPr>
              <w:t>保持盆花每日整洁，发现垃圾及时清除。</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vAlign w:val="center"/>
          </w:tcPr>
          <w:p>
            <w:pPr>
              <w:spacing w:after="10" w:line="252" w:lineRule="auto"/>
              <w:jc w:val="center"/>
              <w:rPr>
                <w:rFonts w:ascii="宋体" w:hAnsi="宋体"/>
                <w:color w:val="000000"/>
              </w:rPr>
            </w:pPr>
            <w:r>
              <w:rPr>
                <w:rFonts w:hint="eastAsia" w:ascii="宋体" w:hAnsi="宋体"/>
                <w:color w:val="000000"/>
              </w:rPr>
              <w:t>3.2.13.4</w:t>
            </w:r>
          </w:p>
        </w:tc>
        <w:tc>
          <w:tcPr>
            <w:tcW w:w="4087" w:type="dxa"/>
            <w:shd w:val="clear" w:color="auto" w:fill="auto"/>
          </w:tcPr>
          <w:p>
            <w:pPr>
              <w:spacing w:line="259" w:lineRule="auto"/>
              <w:jc w:val="left"/>
              <w:rPr>
                <w:rFonts w:ascii="宋体" w:hAnsi="宋体"/>
              </w:rPr>
            </w:pPr>
            <w:r>
              <w:rPr>
                <w:rFonts w:hint="eastAsia" w:ascii="宋体" w:hAnsi="宋体"/>
              </w:rPr>
              <w:t>因作业产生的废料应及时清除</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vAlign w:val="center"/>
          </w:tcPr>
          <w:p>
            <w:pPr>
              <w:spacing w:after="10" w:line="252" w:lineRule="auto"/>
              <w:jc w:val="center"/>
              <w:rPr>
                <w:rFonts w:ascii="宋体" w:hAnsi="宋体"/>
                <w:color w:val="000000"/>
              </w:rPr>
            </w:pPr>
            <w:r>
              <w:rPr>
                <w:rFonts w:hint="eastAsia" w:ascii="宋体" w:hAnsi="宋体"/>
                <w:color w:val="000000"/>
              </w:rPr>
              <w:t>3.2.13.5</w:t>
            </w:r>
          </w:p>
        </w:tc>
        <w:tc>
          <w:tcPr>
            <w:tcW w:w="4087" w:type="dxa"/>
            <w:shd w:val="clear" w:color="auto" w:fill="auto"/>
          </w:tcPr>
          <w:p>
            <w:pPr>
              <w:spacing w:line="259" w:lineRule="auto"/>
              <w:jc w:val="left"/>
              <w:rPr>
                <w:rFonts w:ascii="宋体" w:hAnsi="宋体"/>
              </w:rPr>
            </w:pPr>
            <w:r>
              <w:rPr>
                <w:rFonts w:hint="eastAsia" w:ascii="宋体" w:hAnsi="宋体"/>
              </w:rPr>
              <w:t>应每天检查盆花病虫害发生情况</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vAlign w:val="center"/>
          </w:tcPr>
          <w:p>
            <w:pPr>
              <w:spacing w:after="10" w:line="252" w:lineRule="auto"/>
              <w:jc w:val="center"/>
              <w:rPr>
                <w:rFonts w:ascii="宋体" w:hAnsi="宋体" w:eastAsiaTheme="minorEastAsia"/>
                <w:color w:val="000000"/>
              </w:rPr>
            </w:pPr>
            <w:r>
              <w:rPr>
                <w:rFonts w:hint="eastAsia" w:ascii="宋体" w:hAnsi="宋体"/>
                <w:color w:val="000000"/>
              </w:rPr>
              <w:t>3.2.14</w:t>
            </w:r>
          </w:p>
        </w:tc>
        <w:tc>
          <w:tcPr>
            <w:tcW w:w="4087" w:type="dxa"/>
            <w:shd w:val="clear" w:color="auto" w:fill="auto"/>
          </w:tcPr>
          <w:p>
            <w:pPr>
              <w:spacing w:line="259" w:lineRule="auto"/>
              <w:jc w:val="left"/>
              <w:rPr>
                <w:rFonts w:ascii="宋体" w:hAnsi="宋体" w:eastAsiaTheme="minorEastAsia"/>
              </w:rPr>
            </w:pPr>
            <w:r>
              <w:rPr>
                <w:rFonts w:hint="eastAsia" w:ascii="宋体" w:hAnsi="宋体"/>
              </w:rPr>
              <w:t>内庭院养护</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vAlign w:val="center"/>
          </w:tcPr>
          <w:p>
            <w:pPr>
              <w:spacing w:after="10" w:line="252" w:lineRule="auto"/>
              <w:jc w:val="center"/>
              <w:rPr>
                <w:rFonts w:ascii="宋体" w:hAnsi="宋体"/>
                <w:color w:val="000000"/>
              </w:rPr>
            </w:pPr>
            <w:r>
              <w:rPr>
                <w:rFonts w:hint="eastAsia" w:ascii="宋体" w:hAnsi="宋体"/>
                <w:color w:val="000000"/>
              </w:rPr>
              <w:t>3.2.15</w:t>
            </w:r>
          </w:p>
        </w:tc>
        <w:tc>
          <w:tcPr>
            <w:tcW w:w="4087" w:type="dxa"/>
            <w:shd w:val="clear" w:color="auto" w:fill="auto"/>
          </w:tcPr>
          <w:p>
            <w:pPr>
              <w:spacing w:line="259" w:lineRule="auto"/>
              <w:jc w:val="left"/>
              <w:rPr>
                <w:rFonts w:ascii="宋体" w:hAnsi="宋体"/>
              </w:rPr>
            </w:pPr>
            <w:r>
              <w:rPr>
                <w:rFonts w:hint="eastAsia" w:ascii="宋体" w:hAnsi="宋体"/>
              </w:rPr>
              <w:t>及时做好内庭院各类养护</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after="10" w:line="252" w:lineRule="auto"/>
              <w:jc w:val="center"/>
              <w:rPr>
                <w:rFonts w:ascii="宋体" w:hAnsi="宋体"/>
                <w:color w:val="000000"/>
              </w:rPr>
            </w:pPr>
            <w:r>
              <w:rPr>
                <w:rFonts w:ascii="宋体" w:hAnsi="宋体"/>
                <w:color w:val="000000"/>
              </w:rPr>
              <w:t>3.3</w:t>
            </w:r>
          </w:p>
        </w:tc>
        <w:tc>
          <w:tcPr>
            <w:tcW w:w="4087" w:type="dxa"/>
            <w:shd w:val="clear" w:color="auto" w:fill="auto"/>
          </w:tcPr>
          <w:p>
            <w:pPr>
              <w:spacing w:line="259" w:lineRule="auto"/>
              <w:jc w:val="left"/>
              <w:rPr>
                <w:rFonts w:ascii="宋体" w:hAnsi="宋体"/>
                <w:color w:val="000000"/>
              </w:rPr>
            </w:pPr>
            <w:r>
              <w:rPr>
                <w:rFonts w:hint="eastAsia" w:ascii="宋体" w:hAnsi="宋体" w:cs="微软雅黑"/>
                <w:color w:val="000000"/>
              </w:rPr>
              <w:t>投诉情况（5）</w:t>
            </w:r>
          </w:p>
        </w:tc>
        <w:tc>
          <w:tcPr>
            <w:tcW w:w="1556" w:type="dxa"/>
            <w:gridSpan w:val="2"/>
            <w:shd w:val="clear" w:color="auto" w:fill="auto"/>
          </w:tcPr>
          <w:p>
            <w:pPr>
              <w:spacing w:line="259" w:lineRule="auto"/>
              <w:rPr>
                <w:rFonts w:ascii="宋体" w:hAnsi="宋体"/>
                <w:color w:val="000000"/>
              </w:rPr>
            </w:pPr>
            <w:r>
              <w:rPr>
                <w:rFonts w:ascii="宋体" w:hAnsi="宋体"/>
                <w:color w:val="000000"/>
              </w:rPr>
              <w:t xml:space="preserve"> </w:t>
            </w: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after="10" w:line="252" w:lineRule="auto"/>
              <w:jc w:val="center"/>
              <w:rPr>
                <w:rFonts w:ascii="宋体" w:hAnsi="宋体"/>
                <w:color w:val="000000"/>
              </w:rPr>
            </w:pPr>
            <w:r>
              <w:rPr>
                <w:rFonts w:hint="eastAsia" w:ascii="宋体" w:hAnsi="宋体"/>
                <w:color w:val="000000"/>
              </w:rPr>
              <w:t>3.3.1</w:t>
            </w:r>
          </w:p>
        </w:tc>
        <w:tc>
          <w:tcPr>
            <w:tcW w:w="4087" w:type="dxa"/>
            <w:shd w:val="clear" w:color="auto" w:fill="auto"/>
          </w:tcPr>
          <w:p>
            <w:pPr>
              <w:spacing w:line="259" w:lineRule="auto"/>
              <w:jc w:val="left"/>
              <w:rPr>
                <w:rFonts w:ascii="宋体" w:hAnsi="宋体" w:cs="微软雅黑"/>
                <w:color w:val="000000"/>
              </w:rPr>
            </w:pPr>
            <w:r>
              <w:rPr>
                <w:rFonts w:hint="eastAsia" w:ascii="宋体" w:hAnsi="宋体" w:cs="微软雅黑"/>
                <w:color w:val="000000"/>
              </w:rPr>
              <w:t>绿化养护不当造成的有效投诉</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after="10" w:line="252" w:lineRule="auto"/>
              <w:jc w:val="center"/>
              <w:rPr>
                <w:rFonts w:ascii="宋体" w:hAnsi="宋体"/>
                <w:color w:val="000000"/>
              </w:rPr>
            </w:pPr>
            <w:r>
              <w:rPr>
                <w:rFonts w:ascii="宋体" w:hAnsi="宋体"/>
                <w:color w:val="000000"/>
              </w:rPr>
              <w:t>3.4</w:t>
            </w:r>
          </w:p>
        </w:tc>
        <w:tc>
          <w:tcPr>
            <w:tcW w:w="4087" w:type="dxa"/>
            <w:shd w:val="clear" w:color="auto" w:fill="auto"/>
          </w:tcPr>
          <w:p>
            <w:pPr>
              <w:spacing w:line="259" w:lineRule="auto"/>
              <w:jc w:val="left"/>
              <w:rPr>
                <w:rFonts w:ascii="宋体" w:hAnsi="宋体"/>
                <w:color w:val="000000"/>
              </w:rPr>
            </w:pPr>
            <w:r>
              <w:rPr>
                <w:rFonts w:hint="eastAsia" w:ascii="宋体" w:hAnsi="宋体" w:cs="微软雅黑"/>
                <w:color w:val="000000"/>
              </w:rPr>
              <w:t>现场发现问题的整改情况（5）</w:t>
            </w:r>
          </w:p>
        </w:tc>
        <w:tc>
          <w:tcPr>
            <w:tcW w:w="1556" w:type="dxa"/>
            <w:gridSpan w:val="2"/>
            <w:shd w:val="clear" w:color="auto" w:fill="auto"/>
          </w:tcPr>
          <w:p>
            <w:pPr>
              <w:spacing w:line="259" w:lineRule="auto"/>
              <w:rPr>
                <w:rFonts w:ascii="宋体" w:hAnsi="宋体"/>
                <w:color w:val="000000"/>
              </w:rPr>
            </w:pPr>
            <w:r>
              <w:rPr>
                <w:rFonts w:ascii="宋体" w:hAnsi="宋体"/>
                <w:color w:val="000000"/>
              </w:rPr>
              <w:t xml:space="preserve"> </w:t>
            </w: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after="10" w:line="252" w:lineRule="auto"/>
              <w:jc w:val="center"/>
              <w:rPr>
                <w:rFonts w:ascii="宋体" w:hAnsi="宋体"/>
                <w:color w:val="000000"/>
              </w:rPr>
            </w:pPr>
            <w:r>
              <w:rPr>
                <w:rFonts w:hint="eastAsia" w:ascii="宋体" w:hAnsi="宋体"/>
                <w:color w:val="000000"/>
              </w:rPr>
              <w:t>3.4.1</w:t>
            </w:r>
          </w:p>
        </w:tc>
        <w:tc>
          <w:tcPr>
            <w:tcW w:w="4087" w:type="dxa"/>
            <w:shd w:val="clear" w:color="auto" w:fill="auto"/>
          </w:tcPr>
          <w:p>
            <w:pPr>
              <w:spacing w:line="259" w:lineRule="auto"/>
              <w:jc w:val="left"/>
              <w:rPr>
                <w:rFonts w:ascii="宋体" w:hAnsi="宋体" w:cs="微软雅黑"/>
                <w:color w:val="000000"/>
              </w:rPr>
            </w:pPr>
            <w:r>
              <w:rPr>
                <w:rFonts w:hint="eastAsia" w:ascii="宋体" w:hAnsi="宋体" w:cs="微软雅黑"/>
                <w:color w:val="000000"/>
              </w:rPr>
              <w:t>发现问题没有及时整改或整改不到位</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after="10" w:line="252" w:lineRule="auto"/>
              <w:jc w:val="center"/>
              <w:rPr>
                <w:rFonts w:ascii="宋体" w:hAnsi="宋体"/>
                <w:color w:val="000000"/>
              </w:rPr>
            </w:pPr>
            <w:r>
              <w:rPr>
                <w:rFonts w:hint="eastAsia" w:ascii="宋体" w:hAnsi="宋体"/>
                <w:color w:val="000000"/>
              </w:rPr>
              <w:t>3.4.2</w:t>
            </w:r>
          </w:p>
        </w:tc>
        <w:tc>
          <w:tcPr>
            <w:tcW w:w="4087" w:type="dxa"/>
            <w:shd w:val="clear" w:color="auto" w:fill="auto"/>
          </w:tcPr>
          <w:p>
            <w:pPr>
              <w:spacing w:line="259" w:lineRule="auto"/>
              <w:jc w:val="left"/>
              <w:rPr>
                <w:rFonts w:ascii="宋体" w:hAnsi="宋体" w:cs="微软雅黑"/>
                <w:color w:val="000000"/>
              </w:rPr>
            </w:pPr>
            <w:r>
              <w:rPr>
                <w:rFonts w:hint="eastAsia" w:ascii="宋体" w:hAnsi="宋体" w:cs="微软雅黑"/>
                <w:color w:val="000000"/>
              </w:rPr>
              <w:t>同类问题屡教不改</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18" w:hRule="atLeast"/>
          <w:jc w:val="center"/>
        </w:trPr>
        <w:tc>
          <w:tcPr>
            <w:tcW w:w="1208" w:type="dxa"/>
            <w:tcBorders>
              <w:top w:val="single" w:color="auto" w:sz="4" w:space="0"/>
              <w:bottom w:val="single" w:color="auto" w:sz="4" w:space="0"/>
            </w:tcBorders>
            <w:shd w:val="clear" w:color="auto" w:fill="auto"/>
          </w:tcPr>
          <w:p>
            <w:pPr>
              <w:spacing w:after="10" w:line="252" w:lineRule="auto"/>
              <w:jc w:val="center"/>
              <w:rPr>
                <w:rFonts w:ascii="宋体" w:hAnsi="宋体"/>
                <w:color w:val="000000"/>
              </w:rPr>
            </w:pPr>
            <w:r>
              <w:rPr>
                <w:rFonts w:ascii="宋体" w:hAnsi="宋体"/>
                <w:color w:val="000000"/>
              </w:rPr>
              <w:t>3.5</w:t>
            </w:r>
          </w:p>
        </w:tc>
        <w:tc>
          <w:tcPr>
            <w:tcW w:w="4087" w:type="dxa"/>
            <w:shd w:val="clear" w:color="auto" w:fill="auto"/>
          </w:tcPr>
          <w:p>
            <w:pPr>
              <w:spacing w:line="259" w:lineRule="auto"/>
              <w:jc w:val="left"/>
              <w:rPr>
                <w:rFonts w:ascii="宋体" w:hAnsi="宋体"/>
                <w:color w:val="000000"/>
              </w:rPr>
            </w:pPr>
            <w:r>
              <w:rPr>
                <w:rFonts w:hint="eastAsia" w:ascii="宋体" w:hAnsi="宋体"/>
                <w:color w:val="000000"/>
              </w:rPr>
              <w:t>人员现场在岗情况</w:t>
            </w:r>
            <w:r>
              <w:rPr>
                <w:rFonts w:hint="eastAsia" w:ascii="宋体" w:hAnsi="宋体" w:cs="微软雅黑"/>
                <w:color w:val="000000"/>
              </w:rPr>
              <w:t>（5）</w:t>
            </w:r>
          </w:p>
        </w:tc>
        <w:tc>
          <w:tcPr>
            <w:tcW w:w="1556" w:type="dxa"/>
            <w:gridSpan w:val="2"/>
            <w:shd w:val="clear" w:color="auto" w:fill="auto"/>
          </w:tcPr>
          <w:p>
            <w:pPr>
              <w:spacing w:line="259" w:lineRule="auto"/>
              <w:ind w:right="45"/>
              <w:jc w:val="left"/>
              <w:rPr>
                <w:rFonts w:ascii="宋体" w:hAnsi="宋体" w:cs="微软雅黑"/>
                <w:b/>
                <w:color w:val="000000"/>
              </w:rPr>
            </w:pPr>
          </w:p>
        </w:tc>
        <w:tc>
          <w:tcPr>
            <w:tcW w:w="2652" w:type="dxa"/>
            <w:shd w:val="clear" w:color="auto" w:fill="auto"/>
          </w:tcPr>
          <w:p>
            <w:pPr>
              <w:spacing w:line="259" w:lineRule="auto"/>
              <w:ind w:right="45"/>
              <w:rPr>
                <w:rFonts w:ascii="宋体" w:hAnsi="宋体" w:cs="微软雅黑"/>
                <w:b/>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18" w:hRule="atLeast"/>
          <w:jc w:val="center"/>
        </w:trPr>
        <w:tc>
          <w:tcPr>
            <w:tcW w:w="1208" w:type="dxa"/>
            <w:tcBorders>
              <w:top w:val="single" w:color="auto" w:sz="4" w:space="0"/>
              <w:bottom w:val="single" w:color="auto" w:sz="4" w:space="0"/>
            </w:tcBorders>
            <w:shd w:val="clear" w:color="auto" w:fill="auto"/>
          </w:tcPr>
          <w:p>
            <w:pPr>
              <w:spacing w:after="10" w:line="252" w:lineRule="auto"/>
              <w:jc w:val="center"/>
              <w:rPr>
                <w:rFonts w:ascii="宋体" w:hAnsi="宋体"/>
                <w:color w:val="000000"/>
              </w:rPr>
            </w:pPr>
            <w:r>
              <w:rPr>
                <w:rFonts w:hint="eastAsia" w:ascii="宋体" w:hAnsi="宋体"/>
                <w:color w:val="000000"/>
              </w:rPr>
              <w:t>3.5.1</w:t>
            </w:r>
          </w:p>
        </w:tc>
        <w:tc>
          <w:tcPr>
            <w:tcW w:w="4087" w:type="dxa"/>
            <w:shd w:val="clear" w:color="auto" w:fill="auto"/>
          </w:tcPr>
          <w:p>
            <w:pPr>
              <w:spacing w:line="259" w:lineRule="auto"/>
              <w:jc w:val="left"/>
              <w:rPr>
                <w:rFonts w:ascii="宋体" w:hAnsi="宋体"/>
                <w:color w:val="000000"/>
              </w:rPr>
            </w:pPr>
            <w:r>
              <w:rPr>
                <w:rFonts w:hint="eastAsia" w:ascii="宋体" w:hAnsi="宋体"/>
                <w:color w:val="000000"/>
              </w:rPr>
              <w:t>在岗人员玩手机或做与工作无关的事</w:t>
            </w:r>
          </w:p>
        </w:tc>
        <w:tc>
          <w:tcPr>
            <w:tcW w:w="1556" w:type="dxa"/>
            <w:gridSpan w:val="2"/>
            <w:shd w:val="clear" w:color="auto" w:fill="auto"/>
          </w:tcPr>
          <w:p>
            <w:pPr>
              <w:spacing w:line="259" w:lineRule="auto"/>
              <w:ind w:right="45"/>
              <w:jc w:val="left"/>
              <w:rPr>
                <w:rFonts w:ascii="宋体" w:hAnsi="宋体" w:cs="微软雅黑"/>
                <w:b/>
                <w:color w:val="000000"/>
              </w:rPr>
            </w:pPr>
          </w:p>
        </w:tc>
        <w:tc>
          <w:tcPr>
            <w:tcW w:w="2652" w:type="dxa"/>
            <w:shd w:val="clear" w:color="auto" w:fill="auto"/>
          </w:tcPr>
          <w:p>
            <w:pPr>
              <w:spacing w:line="259" w:lineRule="auto"/>
              <w:ind w:right="45"/>
              <w:rPr>
                <w:rFonts w:ascii="宋体" w:hAnsi="宋体" w:cs="微软雅黑"/>
                <w:b/>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20" w:hRule="atLeast"/>
          <w:jc w:val="center"/>
        </w:trPr>
        <w:tc>
          <w:tcPr>
            <w:tcW w:w="1208" w:type="dxa"/>
            <w:tcBorders>
              <w:top w:val="single" w:color="auto" w:sz="4" w:space="0"/>
            </w:tcBorders>
            <w:shd w:val="clear" w:color="auto" w:fill="auto"/>
          </w:tcPr>
          <w:p>
            <w:pPr>
              <w:spacing w:line="259" w:lineRule="auto"/>
              <w:ind w:right="44"/>
              <w:jc w:val="center"/>
              <w:rPr>
                <w:rFonts w:ascii="宋体" w:hAnsi="宋体"/>
                <w:color w:val="000000"/>
              </w:rPr>
            </w:pPr>
            <w:r>
              <w:rPr>
                <w:rFonts w:ascii="宋体" w:hAnsi="宋体"/>
                <w:color w:val="000000"/>
              </w:rPr>
              <w:t>3.6</w:t>
            </w:r>
          </w:p>
        </w:tc>
        <w:tc>
          <w:tcPr>
            <w:tcW w:w="4087" w:type="dxa"/>
            <w:shd w:val="clear" w:color="auto" w:fill="auto"/>
          </w:tcPr>
          <w:p>
            <w:pPr>
              <w:spacing w:line="259" w:lineRule="auto"/>
              <w:jc w:val="left"/>
              <w:rPr>
                <w:rFonts w:ascii="宋体" w:hAnsi="宋体"/>
                <w:color w:val="000000"/>
              </w:rPr>
            </w:pPr>
            <w:r>
              <w:rPr>
                <w:rFonts w:hint="eastAsia" w:ascii="宋体" w:hAnsi="宋体"/>
                <w:color w:val="000000"/>
              </w:rPr>
              <w:t>应急事件处理质量</w:t>
            </w:r>
            <w:r>
              <w:rPr>
                <w:rFonts w:hint="eastAsia" w:ascii="宋体" w:hAnsi="宋体" w:cs="微软雅黑"/>
                <w:color w:val="000000"/>
              </w:rPr>
              <w:t>（5）</w:t>
            </w:r>
          </w:p>
        </w:tc>
        <w:tc>
          <w:tcPr>
            <w:tcW w:w="1556" w:type="dxa"/>
            <w:gridSpan w:val="2"/>
            <w:shd w:val="clear" w:color="auto" w:fill="auto"/>
          </w:tcPr>
          <w:p>
            <w:pPr>
              <w:spacing w:line="259" w:lineRule="auto"/>
              <w:ind w:left="2"/>
              <w:rPr>
                <w:rFonts w:ascii="宋体" w:hAnsi="宋体"/>
                <w:color w:val="000000"/>
              </w:rPr>
            </w:pPr>
            <w:r>
              <w:rPr>
                <w:rFonts w:ascii="宋体" w:hAnsi="宋体"/>
                <w:color w:val="000000"/>
              </w:rPr>
              <w:t xml:space="preserve"> </w:t>
            </w: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18" w:hRule="atLeast"/>
          <w:jc w:val="center"/>
        </w:trPr>
        <w:tc>
          <w:tcPr>
            <w:tcW w:w="9503" w:type="dxa"/>
            <w:gridSpan w:val="5"/>
            <w:shd w:val="clear" w:color="auto" w:fill="auto"/>
          </w:tcPr>
          <w:p>
            <w:pPr>
              <w:spacing w:line="259" w:lineRule="auto"/>
              <w:jc w:val="left"/>
              <w:rPr>
                <w:rFonts w:ascii="宋体" w:hAnsi="宋体"/>
                <w:color w:val="000000"/>
              </w:rPr>
            </w:pPr>
            <w:r>
              <w:rPr>
                <w:rFonts w:hint="eastAsia" w:ascii="宋体" w:hAnsi="宋体" w:cs="微软雅黑"/>
                <w:b/>
                <w:color w:val="000000"/>
              </w:rPr>
              <w:t xml:space="preserve">分项分值： </w:t>
            </w:r>
            <w:r>
              <w:rPr>
                <w:rFonts w:ascii="宋体" w:hAnsi="宋体" w:cs="微软雅黑"/>
                <w:b/>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111" w:hRule="atLeast"/>
          <w:jc w:val="center"/>
        </w:trPr>
        <w:tc>
          <w:tcPr>
            <w:tcW w:w="1208" w:type="dxa"/>
            <w:tcBorders>
              <w:bottom w:val="single" w:color="auto" w:sz="4" w:space="0"/>
            </w:tcBorders>
            <w:shd w:val="clear" w:color="auto" w:fill="D9E2F3"/>
          </w:tcPr>
          <w:p>
            <w:pPr>
              <w:spacing w:line="259" w:lineRule="auto"/>
              <w:jc w:val="center"/>
              <w:rPr>
                <w:rFonts w:ascii="宋体" w:hAnsi="宋体" w:cs="微软雅黑"/>
                <w:b/>
                <w:color w:val="000000"/>
              </w:rPr>
            </w:pPr>
            <w:r>
              <w:rPr>
                <w:rFonts w:hint="eastAsia" w:ascii="宋体" w:hAnsi="宋体" w:cs="微软雅黑"/>
                <w:b/>
                <w:color w:val="000000"/>
              </w:rPr>
              <w:t>第4节</w:t>
            </w:r>
          </w:p>
        </w:tc>
        <w:tc>
          <w:tcPr>
            <w:tcW w:w="4087" w:type="dxa"/>
            <w:shd w:val="clear" w:color="auto" w:fill="D9E2F3"/>
            <w:vAlign w:val="center"/>
          </w:tcPr>
          <w:p>
            <w:pPr>
              <w:spacing w:line="259" w:lineRule="auto"/>
              <w:jc w:val="center"/>
              <w:rPr>
                <w:rFonts w:ascii="宋体" w:hAnsi="宋体" w:cs="微软雅黑"/>
                <w:b/>
                <w:color w:val="000000"/>
              </w:rPr>
            </w:pPr>
            <w:r>
              <w:rPr>
                <w:rFonts w:hint="eastAsia" w:ascii="宋体" w:hAnsi="宋体" w:cs="微软雅黑"/>
                <w:b/>
                <w:color w:val="000000"/>
              </w:rPr>
              <w:t>安全</w:t>
            </w:r>
            <w:r>
              <w:rPr>
                <w:rFonts w:hint="eastAsia" w:ascii="宋体" w:hAnsi="宋体" w:cs="微软雅黑"/>
                <w:color w:val="000000"/>
              </w:rPr>
              <w:t>（12）</w:t>
            </w:r>
          </w:p>
        </w:tc>
        <w:tc>
          <w:tcPr>
            <w:tcW w:w="1556" w:type="dxa"/>
            <w:gridSpan w:val="2"/>
            <w:shd w:val="clear" w:color="auto" w:fill="D9E2F3"/>
          </w:tcPr>
          <w:p>
            <w:pPr>
              <w:spacing w:after="84" w:line="259" w:lineRule="auto"/>
              <w:ind w:right="26"/>
              <w:jc w:val="center"/>
              <w:rPr>
                <w:rFonts w:ascii="宋体" w:hAnsi="宋体" w:cs="微软雅黑"/>
                <w:b/>
                <w:color w:val="000000"/>
              </w:rPr>
            </w:pPr>
            <w:r>
              <w:rPr>
                <w:rFonts w:hint="eastAsia" w:ascii="宋体" w:hAnsi="宋体" w:cs="微软雅黑"/>
                <w:b/>
                <w:color w:val="000000"/>
              </w:rPr>
              <w:t>扣分值</w:t>
            </w:r>
          </w:p>
        </w:tc>
        <w:tc>
          <w:tcPr>
            <w:tcW w:w="2652" w:type="dxa"/>
            <w:shd w:val="clear" w:color="auto" w:fill="D9E2F3"/>
          </w:tcPr>
          <w:p>
            <w:pPr>
              <w:spacing w:line="259" w:lineRule="auto"/>
              <w:ind w:right="45"/>
              <w:jc w:val="center"/>
              <w:rPr>
                <w:rFonts w:ascii="宋体" w:hAnsi="宋体" w:cs="微软雅黑"/>
                <w:b/>
                <w:color w:val="000000"/>
              </w:rPr>
            </w:pPr>
            <w:r>
              <w:rPr>
                <w:rFonts w:hint="eastAsia" w:ascii="宋体" w:hAnsi="宋体" w:cs="微软雅黑"/>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color w:val="000000"/>
              </w:rPr>
            </w:pPr>
            <w:r>
              <w:rPr>
                <w:rFonts w:ascii="宋体" w:hAnsi="宋体"/>
                <w:color w:val="000000"/>
              </w:rPr>
              <w:t>4.1</w:t>
            </w:r>
          </w:p>
        </w:tc>
        <w:tc>
          <w:tcPr>
            <w:tcW w:w="4087" w:type="dxa"/>
            <w:shd w:val="clear" w:color="auto" w:fill="auto"/>
          </w:tcPr>
          <w:p>
            <w:pPr>
              <w:spacing w:line="259" w:lineRule="auto"/>
              <w:jc w:val="left"/>
              <w:rPr>
                <w:rFonts w:ascii="宋体" w:hAnsi="宋体"/>
                <w:color w:val="000000"/>
              </w:rPr>
            </w:pPr>
            <w:r>
              <w:rPr>
                <w:rFonts w:hint="eastAsia" w:ascii="宋体" w:hAnsi="宋体"/>
                <w:color w:val="000000"/>
              </w:rPr>
              <w:t>通行证件管理及安全教育</w:t>
            </w:r>
            <w:r>
              <w:rPr>
                <w:rFonts w:hint="eastAsia" w:ascii="宋体" w:hAnsi="宋体" w:cs="微软雅黑"/>
                <w:color w:val="000000"/>
              </w:rPr>
              <w:t>（8）</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90"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4.1.1</w:t>
            </w:r>
          </w:p>
        </w:tc>
        <w:tc>
          <w:tcPr>
            <w:tcW w:w="4087" w:type="dxa"/>
            <w:shd w:val="clear" w:color="auto" w:fill="auto"/>
            <w:vAlign w:val="center"/>
          </w:tcPr>
          <w:p>
            <w:pPr>
              <w:spacing w:line="259" w:lineRule="auto"/>
              <w:rPr>
                <w:rFonts w:ascii="宋体" w:hAnsi="宋体"/>
                <w:color w:val="000000"/>
              </w:rPr>
            </w:pPr>
            <w:r>
              <w:rPr>
                <w:rFonts w:hint="eastAsia" w:ascii="宋体" w:hAnsi="宋体"/>
                <w:color w:val="000000"/>
              </w:rPr>
              <w:t>员工通行证遗失或申办通行证材料虚假</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4.1.2</w:t>
            </w:r>
          </w:p>
        </w:tc>
        <w:tc>
          <w:tcPr>
            <w:tcW w:w="4087" w:type="dxa"/>
            <w:shd w:val="clear" w:color="auto" w:fill="auto"/>
            <w:vAlign w:val="center"/>
          </w:tcPr>
          <w:p>
            <w:pPr>
              <w:spacing w:line="259" w:lineRule="auto"/>
              <w:rPr>
                <w:rFonts w:ascii="宋体" w:hAnsi="宋体"/>
                <w:color w:val="000000"/>
              </w:rPr>
            </w:pPr>
            <w:r>
              <w:rPr>
                <w:rFonts w:hint="eastAsia" w:ascii="宋体" w:hAnsi="宋体"/>
                <w:color w:val="000000"/>
              </w:rPr>
              <w:t>门禁使用不当，发生尾随等情况</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4.1.3</w:t>
            </w:r>
          </w:p>
        </w:tc>
        <w:tc>
          <w:tcPr>
            <w:tcW w:w="4087" w:type="dxa"/>
            <w:shd w:val="clear" w:color="auto" w:fill="auto"/>
            <w:vAlign w:val="center"/>
          </w:tcPr>
          <w:p>
            <w:pPr>
              <w:spacing w:line="259" w:lineRule="auto"/>
              <w:rPr>
                <w:rFonts w:ascii="宋体" w:hAnsi="宋体"/>
                <w:color w:val="000000"/>
              </w:rPr>
            </w:pPr>
            <w:r>
              <w:rPr>
                <w:rFonts w:hint="eastAsia" w:ascii="宋体" w:hAnsi="宋体"/>
                <w:color w:val="000000"/>
              </w:rPr>
              <w:t>违法门禁管理相关规定</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4.1.4</w:t>
            </w:r>
          </w:p>
        </w:tc>
        <w:tc>
          <w:tcPr>
            <w:tcW w:w="4087" w:type="dxa"/>
            <w:shd w:val="clear" w:color="auto" w:fill="auto"/>
            <w:vAlign w:val="center"/>
          </w:tcPr>
          <w:p>
            <w:pPr>
              <w:spacing w:line="259" w:lineRule="auto"/>
              <w:rPr>
                <w:rFonts w:ascii="宋体" w:hAnsi="宋体"/>
                <w:color w:val="000000"/>
                <w:szCs w:val="21"/>
              </w:rPr>
            </w:pPr>
            <w:r>
              <w:rPr>
                <w:rFonts w:hint="eastAsia" w:ascii="宋体" w:hAnsi="宋体"/>
                <w:color w:val="000000"/>
              </w:rPr>
              <w:t>通行证的保管不当</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4.1.5</w:t>
            </w:r>
          </w:p>
        </w:tc>
        <w:tc>
          <w:tcPr>
            <w:tcW w:w="4087" w:type="dxa"/>
            <w:shd w:val="clear" w:color="auto" w:fill="auto"/>
            <w:vAlign w:val="center"/>
          </w:tcPr>
          <w:p>
            <w:pPr>
              <w:spacing w:line="259" w:lineRule="auto"/>
              <w:rPr>
                <w:rFonts w:ascii="宋体" w:hAnsi="宋体"/>
                <w:color w:val="000000"/>
                <w:szCs w:val="21"/>
              </w:rPr>
            </w:pPr>
            <w:r>
              <w:rPr>
                <w:rFonts w:hint="eastAsia" w:ascii="宋体" w:hAnsi="宋体"/>
                <w:color w:val="000000"/>
              </w:rPr>
              <w:t>违反通行证管理相关规定</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4.1.6</w:t>
            </w:r>
          </w:p>
        </w:tc>
        <w:tc>
          <w:tcPr>
            <w:tcW w:w="4087" w:type="dxa"/>
            <w:shd w:val="clear" w:color="auto" w:fill="auto"/>
            <w:vAlign w:val="center"/>
          </w:tcPr>
          <w:p>
            <w:pPr>
              <w:spacing w:line="259" w:lineRule="auto"/>
              <w:rPr>
                <w:rFonts w:ascii="宋体" w:hAnsi="宋体"/>
                <w:color w:val="000000"/>
                <w:szCs w:val="21"/>
              </w:rPr>
            </w:pPr>
            <w:r>
              <w:rPr>
                <w:rFonts w:hint="eastAsia" w:ascii="宋体" w:hAnsi="宋体"/>
                <w:color w:val="000000"/>
              </w:rPr>
              <w:t>未进行通行证培训</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color w:val="000000"/>
              </w:rPr>
            </w:pPr>
            <w:r>
              <w:rPr>
                <w:rFonts w:ascii="宋体" w:hAnsi="宋体"/>
                <w:color w:val="000000"/>
              </w:rPr>
              <w:t>4.2</w:t>
            </w:r>
          </w:p>
        </w:tc>
        <w:tc>
          <w:tcPr>
            <w:tcW w:w="4087" w:type="dxa"/>
            <w:shd w:val="clear" w:color="auto" w:fill="auto"/>
          </w:tcPr>
          <w:p>
            <w:pPr>
              <w:spacing w:line="259" w:lineRule="auto"/>
              <w:jc w:val="left"/>
              <w:rPr>
                <w:rFonts w:ascii="宋体" w:hAnsi="宋体"/>
                <w:color w:val="000000"/>
              </w:rPr>
            </w:pPr>
            <w:r>
              <w:rPr>
                <w:rFonts w:hint="eastAsia" w:ascii="宋体" w:hAnsi="宋体"/>
                <w:color w:val="000000"/>
              </w:rPr>
              <w:t>提供和维护安全的工作环境</w:t>
            </w:r>
            <w:r>
              <w:rPr>
                <w:rFonts w:hint="eastAsia" w:ascii="宋体" w:hAnsi="宋体" w:cs="微软雅黑"/>
                <w:color w:val="000000"/>
              </w:rPr>
              <w:t>（4）</w:t>
            </w:r>
          </w:p>
        </w:tc>
        <w:tc>
          <w:tcPr>
            <w:tcW w:w="1556" w:type="dxa"/>
            <w:gridSpan w:val="2"/>
            <w:shd w:val="clear" w:color="auto" w:fill="auto"/>
          </w:tcPr>
          <w:p>
            <w:pPr>
              <w:spacing w:line="259" w:lineRule="auto"/>
              <w:ind w:left="2"/>
              <w:jc w:val="center"/>
              <w:rPr>
                <w:rFonts w:ascii="宋体" w:hAnsi="宋体"/>
                <w:color w:val="000000"/>
              </w:rPr>
            </w:pPr>
            <w:r>
              <w:rPr>
                <w:rFonts w:ascii="宋体" w:hAnsi="宋体"/>
                <w:color w:val="000000"/>
              </w:rPr>
              <w:t xml:space="preserve">  </w:t>
            </w: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4.2.1</w:t>
            </w:r>
          </w:p>
        </w:tc>
        <w:tc>
          <w:tcPr>
            <w:tcW w:w="4087" w:type="dxa"/>
            <w:shd w:val="clear" w:color="auto" w:fill="auto"/>
          </w:tcPr>
          <w:p>
            <w:pPr>
              <w:spacing w:line="259" w:lineRule="auto"/>
              <w:jc w:val="left"/>
              <w:rPr>
                <w:rFonts w:ascii="宋体" w:hAnsi="宋体"/>
                <w:color w:val="000000"/>
              </w:rPr>
            </w:pPr>
            <w:r>
              <w:rPr>
                <w:rFonts w:hint="eastAsia" w:ascii="宋体" w:hAnsi="宋体"/>
                <w:color w:val="000000"/>
              </w:rPr>
              <w:t>有病虫害的植物花卉不及时清理或根治</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4.2.2</w:t>
            </w:r>
          </w:p>
        </w:tc>
        <w:tc>
          <w:tcPr>
            <w:tcW w:w="4087" w:type="dxa"/>
            <w:shd w:val="clear" w:color="auto" w:fill="auto"/>
          </w:tcPr>
          <w:p>
            <w:pPr>
              <w:spacing w:line="259" w:lineRule="auto"/>
              <w:jc w:val="left"/>
              <w:rPr>
                <w:rFonts w:ascii="宋体" w:hAnsi="宋体"/>
                <w:color w:val="000000"/>
              </w:rPr>
            </w:pPr>
            <w:r>
              <w:rPr>
                <w:rFonts w:hint="eastAsia" w:ascii="宋体" w:hAnsi="宋体"/>
                <w:color w:val="000000"/>
              </w:rPr>
              <w:t>违规使用除虫药物</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4.2.3</w:t>
            </w:r>
          </w:p>
        </w:tc>
        <w:tc>
          <w:tcPr>
            <w:tcW w:w="4087" w:type="dxa"/>
            <w:shd w:val="clear" w:color="auto" w:fill="auto"/>
          </w:tcPr>
          <w:p>
            <w:pPr>
              <w:spacing w:line="259" w:lineRule="auto"/>
              <w:jc w:val="left"/>
              <w:rPr>
                <w:rFonts w:ascii="宋体" w:hAnsi="宋体"/>
                <w:color w:val="000000"/>
              </w:rPr>
            </w:pPr>
            <w:r>
              <w:rPr>
                <w:rFonts w:hint="eastAsia" w:ascii="宋体" w:hAnsi="宋体"/>
                <w:color w:val="000000"/>
              </w:rPr>
              <w:t>定期对盆花底部进行杀虫剂喷洒</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4.2.4</w:t>
            </w:r>
          </w:p>
        </w:tc>
        <w:tc>
          <w:tcPr>
            <w:tcW w:w="4087" w:type="dxa"/>
            <w:shd w:val="clear" w:color="auto" w:fill="auto"/>
          </w:tcPr>
          <w:p>
            <w:pPr>
              <w:spacing w:line="259" w:lineRule="auto"/>
              <w:jc w:val="left"/>
              <w:rPr>
                <w:rFonts w:ascii="宋体" w:hAnsi="宋体"/>
                <w:color w:val="000000"/>
              </w:rPr>
            </w:pPr>
            <w:r>
              <w:rPr>
                <w:rFonts w:hint="eastAsia" w:ascii="宋体" w:hAnsi="宋体"/>
                <w:color w:val="000000"/>
              </w:rPr>
              <w:t>违规使用大功率电器作业、生活</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4.2.5</w:t>
            </w:r>
          </w:p>
        </w:tc>
        <w:tc>
          <w:tcPr>
            <w:tcW w:w="4087" w:type="dxa"/>
            <w:shd w:val="clear" w:color="auto" w:fill="auto"/>
          </w:tcPr>
          <w:p>
            <w:pPr>
              <w:spacing w:line="259" w:lineRule="auto"/>
              <w:jc w:val="left"/>
              <w:rPr>
                <w:rFonts w:ascii="宋体" w:hAnsi="宋体"/>
                <w:color w:val="000000"/>
              </w:rPr>
            </w:pPr>
            <w:r>
              <w:rPr>
                <w:rFonts w:hint="eastAsia" w:ascii="宋体" w:hAnsi="宋体"/>
                <w:color w:val="000000"/>
              </w:rPr>
              <w:t>不得使用有异味的肥料</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78" w:hRule="atLeast"/>
          <w:jc w:val="center"/>
        </w:trPr>
        <w:tc>
          <w:tcPr>
            <w:tcW w:w="9503" w:type="dxa"/>
            <w:gridSpan w:val="5"/>
            <w:shd w:val="clear" w:color="auto" w:fill="auto"/>
          </w:tcPr>
          <w:p>
            <w:pPr>
              <w:spacing w:line="259" w:lineRule="auto"/>
              <w:jc w:val="left"/>
              <w:rPr>
                <w:rFonts w:ascii="宋体" w:hAnsi="宋体"/>
                <w:color w:val="000000"/>
              </w:rPr>
            </w:pPr>
            <w:r>
              <w:rPr>
                <w:rFonts w:hint="eastAsia" w:ascii="宋体" w:hAnsi="宋体" w:cs="微软雅黑"/>
                <w:b/>
                <w:color w:val="000000"/>
              </w:rPr>
              <w:t xml:space="preserve">分项分值： </w:t>
            </w:r>
            <w:r>
              <w:rPr>
                <w:rFonts w:ascii="宋体" w:hAnsi="宋体" w:cs="微软雅黑"/>
                <w:b/>
                <w:color w:val="000000"/>
              </w:rPr>
              <w:t xml:space="preserve"> </w:t>
            </w:r>
            <w:r>
              <w:rPr>
                <w:rFonts w:hint="eastAsia" w:ascii="宋体" w:hAnsi="宋体" w:cs="微软雅黑"/>
                <w:b/>
                <w:color w:val="000000"/>
              </w:rPr>
              <w:t xml:space="preserve"> </w:t>
            </w:r>
            <w:r>
              <w:rPr>
                <w:rFonts w:ascii="宋体" w:hAnsi="宋体" w:cs="微软雅黑"/>
                <w:b/>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58" w:hRule="atLeast"/>
          <w:jc w:val="center"/>
        </w:trPr>
        <w:tc>
          <w:tcPr>
            <w:tcW w:w="1208" w:type="dxa"/>
            <w:shd w:val="clear" w:color="auto" w:fill="D9E2F3"/>
          </w:tcPr>
          <w:p>
            <w:pPr>
              <w:spacing w:line="259" w:lineRule="auto"/>
              <w:jc w:val="center"/>
              <w:rPr>
                <w:rFonts w:ascii="宋体" w:hAnsi="宋体" w:cs="微软雅黑"/>
                <w:b/>
                <w:color w:val="000000"/>
              </w:rPr>
            </w:pPr>
            <w:r>
              <w:rPr>
                <w:rFonts w:hint="eastAsia" w:ascii="宋体" w:hAnsi="宋体" w:cs="微软雅黑"/>
                <w:b/>
                <w:color w:val="000000"/>
              </w:rPr>
              <w:t>第5节</w:t>
            </w:r>
          </w:p>
        </w:tc>
        <w:tc>
          <w:tcPr>
            <w:tcW w:w="4087" w:type="dxa"/>
            <w:shd w:val="clear" w:color="auto" w:fill="D9E2F3"/>
          </w:tcPr>
          <w:p>
            <w:pPr>
              <w:spacing w:line="259" w:lineRule="auto"/>
              <w:jc w:val="center"/>
              <w:rPr>
                <w:rFonts w:ascii="宋体" w:hAnsi="宋体" w:cs="微软雅黑"/>
                <w:b/>
                <w:color w:val="000000"/>
              </w:rPr>
            </w:pPr>
            <w:r>
              <w:rPr>
                <w:rFonts w:hint="eastAsia" w:ascii="宋体" w:hAnsi="宋体" w:cs="微软雅黑"/>
                <w:b/>
                <w:color w:val="000000"/>
              </w:rPr>
              <w:t>过程</w:t>
            </w:r>
            <w:r>
              <w:rPr>
                <w:rFonts w:hint="eastAsia" w:ascii="宋体" w:hAnsi="宋体" w:cs="微软雅黑"/>
                <w:color w:val="000000"/>
              </w:rPr>
              <w:t>（16）</w:t>
            </w:r>
          </w:p>
        </w:tc>
        <w:tc>
          <w:tcPr>
            <w:tcW w:w="1556" w:type="dxa"/>
            <w:gridSpan w:val="2"/>
            <w:shd w:val="clear" w:color="auto" w:fill="D9E2F3"/>
          </w:tcPr>
          <w:p>
            <w:pPr>
              <w:spacing w:after="84" w:line="259" w:lineRule="auto"/>
              <w:ind w:right="26"/>
              <w:jc w:val="center"/>
              <w:rPr>
                <w:rFonts w:ascii="宋体" w:hAnsi="宋体" w:cs="微软雅黑"/>
                <w:b/>
                <w:color w:val="000000"/>
              </w:rPr>
            </w:pPr>
            <w:r>
              <w:rPr>
                <w:rFonts w:hint="eastAsia" w:ascii="宋体" w:hAnsi="宋体" w:cs="微软雅黑"/>
                <w:b/>
                <w:color w:val="000000"/>
              </w:rPr>
              <w:t>扣分值</w:t>
            </w:r>
          </w:p>
        </w:tc>
        <w:tc>
          <w:tcPr>
            <w:tcW w:w="2652" w:type="dxa"/>
            <w:shd w:val="clear" w:color="auto" w:fill="D9E2F3"/>
          </w:tcPr>
          <w:p>
            <w:pPr>
              <w:spacing w:line="259" w:lineRule="auto"/>
              <w:ind w:right="45"/>
              <w:jc w:val="center"/>
              <w:rPr>
                <w:rFonts w:ascii="宋体" w:hAnsi="宋体" w:cs="微软雅黑"/>
                <w:b/>
                <w:color w:val="000000"/>
              </w:rPr>
            </w:pPr>
            <w:r>
              <w:rPr>
                <w:rFonts w:hint="eastAsia" w:ascii="宋体" w:hAnsi="宋体" w:cs="微软雅黑"/>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79" w:hRule="atLeast"/>
          <w:jc w:val="center"/>
        </w:trPr>
        <w:tc>
          <w:tcPr>
            <w:tcW w:w="1208" w:type="dxa"/>
            <w:tcBorders>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5.1</w:t>
            </w:r>
          </w:p>
        </w:tc>
        <w:tc>
          <w:tcPr>
            <w:tcW w:w="4087" w:type="dxa"/>
            <w:shd w:val="clear" w:color="auto" w:fill="auto"/>
          </w:tcPr>
          <w:p>
            <w:pPr>
              <w:spacing w:line="259" w:lineRule="auto"/>
              <w:jc w:val="left"/>
              <w:rPr>
                <w:rFonts w:ascii="宋体" w:hAnsi="宋体" w:cs="微软雅黑"/>
                <w:color w:val="000000"/>
              </w:rPr>
            </w:pPr>
            <w:r>
              <w:rPr>
                <w:rFonts w:hint="eastAsia" w:ascii="宋体" w:hAnsi="宋体" w:cs="微软雅黑"/>
                <w:color w:val="000000"/>
              </w:rPr>
              <w:t>工作计划方案的充分性和质量（4）</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79" w:hRule="atLeast"/>
          <w:jc w:val="center"/>
        </w:trPr>
        <w:tc>
          <w:tcPr>
            <w:tcW w:w="1208" w:type="dxa"/>
            <w:tcBorders>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5.1.1</w:t>
            </w:r>
          </w:p>
        </w:tc>
        <w:tc>
          <w:tcPr>
            <w:tcW w:w="4087" w:type="dxa"/>
            <w:shd w:val="clear" w:color="auto" w:fill="auto"/>
          </w:tcPr>
          <w:p>
            <w:pPr>
              <w:spacing w:line="259" w:lineRule="auto"/>
              <w:jc w:val="left"/>
              <w:rPr>
                <w:rFonts w:ascii="宋体" w:hAnsi="宋体" w:cs="微软雅黑"/>
                <w:color w:val="000000"/>
              </w:rPr>
            </w:pPr>
            <w:r>
              <w:rPr>
                <w:rFonts w:hint="eastAsia" w:ascii="宋体" w:hAnsi="宋体" w:cs="微软雅黑"/>
                <w:color w:val="000000"/>
              </w:rPr>
              <w:t>工作计划是否完整，齐全。</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79" w:hRule="atLeast"/>
          <w:jc w:val="center"/>
        </w:trPr>
        <w:tc>
          <w:tcPr>
            <w:tcW w:w="1208" w:type="dxa"/>
            <w:tcBorders>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5.1.1.1</w:t>
            </w:r>
          </w:p>
        </w:tc>
        <w:tc>
          <w:tcPr>
            <w:tcW w:w="4087" w:type="dxa"/>
            <w:shd w:val="clear" w:color="auto" w:fill="auto"/>
          </w:tcPr>
          <w:p>
            <w:pPr>
              <w:spacing w:line="259" w:lineRule="auto"/>
              <w:jc w:val="left"/>
              <w:rPr>
                <w:rFonts w:ascii="宋体" w:hAnsi="宋体" w:cs="微软雅黑"/>
              </w:rPr>
            </w:pPr>
            <w:r>
              <w:rPr>
                <w:rFonts w:hint="eastAsia" w:ascii="宋体" w:hAnsi="宋体" w:cs="微软雅黑"/>
              </w:rPr>
              <w:t>年度工作计划、月工作计划</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79" w:hRule="atLeast"/>
          <w:jc w:val="center"/>
        </w:trPr>
        <w:tc>
          <w:tcPr>
            <w:tcW w:w="1208" w:type="dxa"/>
            <w:tcBorders>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5.1.1.2</w:t>
            </w:r>
          </w:p>
        </w:tc>
        <w:tc>
          <w:tcPr>
            <w:tcW w:w="4087" w:type="dxa"/>
            <w:shd w:val="clear" w:color="auto" w:fill="auto"/>
          </w:tcPr>
          <w:p>
            <w:pPr>
              <w:spacing w:line="259" w:lineRule="auto"/>
              <w:jc w:val="left"/>
              <w:rPr>
                <w:rFonts w:ascii="宋体" w:hAnsi="宋体" w:cs="微软雅黑"/>
              </w:rPr>
            </w:pPr>
            <w:r>
              <w:rPr>
                <w:rFonts w:hint="eastAsia" w:ascii="宋体" w:hAnsi="宋体" w:cs="微软雅黑"/>
              </w:rPr>
              <w:t>花堆全年摆放计划</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79" w:hRule="atLeast"/>
          <w:jc w:val="center"/>
        </w:trPr>
        <w:tc>
          <w:tcPr>
            <w:tcW w:w="1208" w:type="dxa"/>
            <w:tcBorders>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5.1.2</w:t>
            </w:r>
          </w:p>
        </w:tc>
        <w:tc>
          <w:tcPr>
            <w:tcW w:w="4087" w:type="dxa"/>
            <w:shd w:val="clear" w:color="auto" w:fill="auto"/>
          </w:tcPr>
          <w:p>
            <w:pPr>
              <w:spacing w:line="259" w:lineRule="auto"/>
              <w:jc w:val="left"/>
              <w:rPr>
                <w:rFonts w:ascii="宋体" w:hAnsi="宋体" w:cs="微软雅黑"/>
              </w:rPr>
            </w:pPr>
            <w:r>
              <w:rPr>
                <w:rFonts w:hint="eastAsia" w:ascii="宋体" w:hAnsi="宋体" w:cs="微软雅黑"/>
              </w:rPr>
              <w:t>工作计划是否按时上交</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79" w:hRule="atLeast"/>
          <w:jc w:val="center"/>
        </w:trPr>
        <w:tc>
          <w:tcPr>
            <w:tcW w:w="1208" w:type="dxa"/>
            <w:tcBorders>
              <w:bottom w:val="single" w:color="auto" w:sz="4" w:space="0"/>
            </w:tcBorders>
            <w:shd w:val="clear" w:color="auto" w:fill="auto"/>
          </w:tcPr>
          <w:p>
            <w:pPr>
              <w:spacing w:line="252" w:lineRule="auto"/>
              <w:jc w:val="center"/>
              <w:rPr>
                <w:rFonts w:ascii="宋体" w:hAnsi="宋体"/>
                <w:color w:val="000000"/>
              </w:rPr>
            </w:pPr>
            <w:r>
              <w:rPr>
                <w:rFonts w:ascii="宋体" w:hAnsi="宋体"/>
                <w:color w:val="000000"/>
              </w:rPr>
              <w:t>5.</w:t>
            </w:r>
            <w:r>
              <w:rPr>
                <w:rFonts w:hint="eastAsia" w:ascii="宋体" w:hAnsi="宋体"/>
                <w:color w:val="000000"/>
              </w:rPr>
              <w:t>2</w:t>
            </w:r>
          </w:p>
        </w:tc>
        <w:tc>
          <w:tcPr>
            <w:tcW w:w="4087" w:type="dxa"/>
            <w:shd w:val="clear" w:color="auto" w:fill="auto"/>
          </w:tcPr>
          <w:p>
            <w:pPr>
              <w:spacing w:line="259" w:lineRule="auto"/>
              <w:jc w:val="left"/>
              <w:rPr>
                <w:rFonts w:ascii="宋体" w:hAnsi="宋体"/>
              </w:rPr>
            </w:pPr>
            <w:r>
              <w:rPr>
                <w:rFonts w:hint="eastAsia" w:ascii="宋体" w:hAnsi="宋体" w:cs="微软雅黑"/>
              </w:rPr>
              <w:t>台账及资料管理（4）</w:t>
            </w:r>
          </w:p>
        </w:tc>
        <w:tc>
          <w:tcPr>
            <w:tcW w:w="1556" w:type="dxa"/>
            <w:gridSpan w:val="2"/>
            <w:shd w:val="clear" w:color="auto" w:fill="auto"/>
          </w:tcPr>
          <w:p>
            <w:pPr>
              <w:spacing w:line="259" w:lineRule="auto"/>
              <w:ind w:left="2"/>
              <w:jc w:val="center"/>
              <w:rPr>
                <w:rFonts w:ascii="宋体" w:hAnsi="宋体"/>
                <w:color w:val="000000"/>
              </w:rPr>
            </w:pPr>
            <w:r>
              <w:rPr>
                <w:rFonts w:ascii="宋体" w:hAnsi="宋体"/>
                <w:color w:val="000000"/>
              </w:rPr>
              <w:t xml:space="preserve">  </w:t>
            </w: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79" w:hRule="atLeast"/>
          <w:jc w:val="center"/>
        </w:trPr>
        <w:tc>
          <w:tcPr>
            <w:tcW w:w="1208" w:type="dxa"/>
            <w:tcBorders>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5.2.1</w:t>
            </w:r>
          </w:p>
        </w:tc>
        <w:tc>
          <w:tcPr>
            <w:tcW w:w="4087" w:type="dxa"/>
            <w:shd w:val="clear" w:color="auto" w:fill="auto"/>
          </w:tcPr>
          <w:p>
            <w:pPr>
              <w:spacing w:line="259" w:lineRule="auto"/>
              <w:jc w:val="left"/>
              <w:rPr>
                <w:rFonts w:ascii="宋体" w:hAnsi="宋体" w:cs="微软雅黑"/>
              </w:rPr>
            </w:pPr>
            <w:r>
              <w:rPr>
                <w:rFonts w:hint="eastAsia" w:ascii="宋体" w:hAnsi="宋体" w:cs="微软雅黑"/>
                <w:color w:val="000000"/>
              </w:rPr>
              <w:t>台账记录是否完整</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79" w:hRule="atLeast"/>
          <w:jc w:val="center"/>
        </w:trPr>
        <w:tc>
          <w:tcPr>
            <w:tcW w:w="1208" w:type="dxa"/>
            <w:tcBorders>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5.2.2</w:t>
            </w:r>
          </w:p>
        </w:tc>
        <w:tc>
          <w:tcPr>
            <w:tcW w:w="4087" w:type="dxa"/>
            <w:shd w:val="clear" w:color="auto" w:fill="auto"/>
          </w:tcPr>
          <w:p>
            <w:pPr>
              <w:spacing w:line="259" w:lineRule="auto"/>
              <w:jc w:val="left"/>
              <w:rPr>
                <w:rFonts w:ascii="宋体" w:hAnsi="宋体" w:cs="微软雅黑"/>
                <w:color w:val="000000"/>
              </w:rPr>
            </w:pPr>
            <w:r>
              <w:rPr>
                <w:rFonts w:hint="eastAsia" w:ascii="宋体" w:hAnsi="宋体" w:cs="微软雅黑"/>
                <w:color w:val="000000"/>
              </w:rPr>
              <w:t>台账记录内容是否真实有效</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tcBorders>
            <w:shd w:val="clear" w:color="auto" w:fill="auto"/>
          </w:tcPr>
          <w:p>
            <w:pPr>
              <w:spacing w:line="252" w:lineRule="auto"/>
              <w:jc w:val="center"/>
              <w:rPr>
                <w:rFonts w:ascii="宋体" w:hAnsi="宋体"/>
                <w:color w:val="000000"/>
              </w:rPr>
            </w:pPr>
            <w:r>
              <w:rPr>
                <w:rFonts w:ascii="宋体" w:hAnsi="宋体"/>
                <w:color w:val="000000"/>
              </w:rPr>
              <w:t>5.</w:t>
            </w:r>
            <w:r>
              <w:rPr>
                <w:rFonts w:hint="eastAsia" w:ascii="宋体" w:hAnsi="宋体"/>
                <w:color w:val="000000"/>
              </w:rPr>
              <w:t>3</w:t>
            </w:r>
          </w:p>
        </w:tc>
        <w:tc>
          <w:tcPr>
            <w:tcW w:w="4087" w:type="dxa"/>
            <w:shd w:val="clear" w:color="auto" w:fill="auto"/>
          </w:tcPr>
          <w:p>
            <w:pPr>
              <w:spacing w:line="259" w:lineRule="auto"/>
              <w:jc w:val="left"/>
              <w:rPr>
                <w:rFonts w:ascii="宋体" w:hAnsi="宋体"/>
                <w:color w:val="000000"/>
              </w:rPr>
            </w:pPr>
            <w:r>
              <w:rPr>
                <w:rFonts w:hint="eastAsia" w:ascii="宋体" w:hAnsi="宋体" w:cs="微软雅黑"/>
                <w:color w:val="000000"/>
              </w:rPr>
              <w:t>工作进展及工作质量通报情况（4）</w:t>
            </w:r>
          </w:p>
        </w:tc>
        <w:tc>
          <w:tcPr>
            <w:tcW w:w="1556" w:type="dxa"/>
            <w:gridSpan w:val="2"/>
            <w:shd w:val="clear" w:color="auto" w:fill="auto"/>
          </w:tcPr>
          <w:p>
            <w:pPr>
              <w:spacing w:line="259" w:lineRule="auto"/>
              <w:rPr>
                <w:rFonts w:ascii="宋体" w:hAnsi="宋体"/>
                <w:color w:val="000000"/>
              </w:rPr>
            </w:pPr>
            <w:r>
              <w:rPr>
                <w:rFonts w:ascii="宋体" w:hAnsi="宋体"/>
                <w:color w:val="000000"/>
              </w:rPr>
              <w:t xml:space="preserve"> </w:t>
            </w: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5.3.1</w:t>
            </w:r>
          </w:p>
        </w:tc>
        <w:tc>
          <w:tcPr>
            <w:tcW w:w="4087" w:type="dxa"/>
            <w:shd w:val="clear" w:color="auto" w:fill="auto"/>
          </w:tcPr>
          <w:p>
            <w:pPr>
              <w:spacing w:line="259" w:lineRule="auto"/>
              <w:jc w:val="left"/>
              <w:rPr>
                <w:rFonts w:ascii="宋体" w:hAnsi="宋体" w:cs="微软雅黑"/>
                <w:color w:val="000000"/>
              </w:rPr>
            </w:pPr>
            <w:r>
              <w:rPr>
                <w:rFonts w:hint="eastAsia" w:ascii="宋体" w:hAnsi="宋体" w:cs="微软雅黑"/>
                <w:color w:val="000000"/>
              </w:rPr>
              <w:t>突发情况是否及时处理及上报</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5.3.2</w:t>
            </w:r>
          </w:p>
        </w:tc>
        <w:tc>
          <w:tcPr>
            <w:tcW w:w="4087" w:type="dxa"/>
            <w:shd w:val="clear" w:color="auto" w:fill="auto"/>
          </w:tcPr>
          <w:p>
            <w:pPr>
              <w:spacing w:line="259" w:lineRule="auto"/>
              <w:jc w:val="left"/>
              <w:rPr>
                <w:rFonts w:ascii="宋体" w:hAnsi="宋体" w:cs="微软雅黑"/>
                <w:color w:val="000000"/>
              </w:rPr>
            </w:pPr>
            <w:r>
              <w:rPr>
                <w:rFonts w:hint="eastAsia" w:ascii="宋体" w:hAnsi="宋体" w:cs="微软雅黑"/>
                <w:color w:val="000000"/>
              </w:rPr>
              <w:t>品种更新是否报备及记录</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5.3.3</w:t>
            </w:r>
          </w:p>
        </w:tc>
        <w:tc>
          <w:tcPr>
            <w:tcW w:w="4087" w:type="dxa"/>
            <w:shd w:val="clear" w:color="auto" w:fill="auto"/>
          </w:tcPr>
          <w:p>
            <w:pPr>
              <w:spacing w:line="259" w:lineRule="auto"/>
              <w:jc w:val="left"/>
              <w:rPr>
                <w:rFonts w:ascii="宋体" w:hAnsi="宋体" w:cs="微软雅黑"/>
                <w:color w:val="000000"/>
              </w:rPr>
            </w:pPr>
            <w:r>
              <w:rPr>
                <w:rFonts w:hint="eastAsia" w:ascii="宋体" w:hAnsi="宋体" w:cs="微软雅黑"/>
                <w:color w:val="000000"/>
              </w:rPr>
              <w:t>数量增减是否报备及记录</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5.4</w:t>
            </w:r>
          </w:p>
        </w:tc>
        <w:tc>
          <w:tcPr>
            <w:tcW w:w="4087" w:type="dxa"/>
            <w:shd w:val="clear" w:color="auto" w:fill="auto"/>
          </w:tcPr>
          <w:p>
            <w:pPr>
              <w:spacing w:line="259" w:lineRule="auto"/>
              <w:jc w:val="left"/>
              <w:rPr>
                <w:rFonts w:ascii="宋体" w:hAnsi="宋体" w:cs="微软雅黑"/>
                <w:color w:val="000000"/>
              </w:rPr>
            </w:pPr>
            <w:r>
              <w:rPr>
                <w:rFonts w:hint="eastAsia" w:ascii="宋体" w:hAnsi="宋体" w:cs="微软雅黑"/>
                <w:color w:val="000000"/>
              </w:rPr>
              <w:t>是否及时对发现的问题进行现场处理（4）</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31" w:hRule="atLeast"/>
          <w:jc w:val="center"/>
        </w:trPr>
        <w:tc>
          <w:tcPr>
            <w:tcW w:w="1208" w:type="dxa"/>
            <w:tcBorders>
              <w:top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5.4.1</w:t>
            </w:r>
          </w:p>
        </w:tc>
        <w:tc>
          <w:tcPr>
            <w:tcW w:w="4087" w:type="dxa"/>
            <w:shd w:val="clear" w:color="auto" w:fill="auto"/>
          </w:tcPr>
          <w:p>
            <w:pPr>
              <w:spacing w:line="259" w:lineRule="auto"/>
              <w:jc w:val="left"/>
              <w:rPr>
                <w:rFonts w:ascii="宋体" w:hAnsi="宋体" w:cs="微软雅黑"/>
                <w:color w:val="000000"/>
              </w:rPr>
            </w:pPr>
            <w:r>
              <w:rPr>
                <w:rFonts w:hint="eastAsia" w:ascii="宋体" w:hAnsi="宋体" w:cs="微软雅黑"/>
                <w:color w:val="000000"/>
              </w:rPr>
              <w:t>工作中存在的问题是否及时发现</w:t>
            </w:r>
          </w:p>
        </w:tc>
        <w:tc>
          <w:tcPr>
            <w:tcW w:w="1556" w:type="dxa"/>
            <w:gridSpan w:val="2"/>
            <w:shd w:val="clear" w:color="auto" w:fill="auto"/>
          </w:tcPr>
          <w:p>
            <w:pPr>
              <w:spacing w:line="259" w:lineRule="auto"/>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404" w:hRule="atLeast"/>
          <w:jc w:val="center"/>
        </w:trPr>
        <w:tc>
          <w:tcPr>
            <w:tcW w:w="9503" w:type="dxa"/>
            <w:gridSpan w:val="5"/>
            <w:shd w:val="clear" w:color="auto" w:fill="auto"/>
          </w:tcPr>
          <w:p>
            <w:pPr>
              <w:spacing w:line="259" w:lineRule="auto"/>
              <w:jc w:val="left"/>
              <w:rPr>
                <w:rFonts w:ascii="宋体" w:hAnsi="宋体"/>
                <w:color w:val="000000"/>
              </w:rPr>
            </w:pPr>
            <w:r>
              <w:rPr>
                <w:rFonts w:hint="eastAsia" w:ascii="宋体" w:hAnsi="宋体" w:cs="微软雅黑"/>
                <w:b/>
                <w:color w:val="000000"/>
              </w:rPr>
              <w:t xml:space="preserve">分项分值： </w:t>
            </w:r>
            <w:r>
              <w:rPr>
                <w:rFonts w:ascii="宋体" w:hAnsi="宋体" w:cs="微软雅黑"/>
                <w:b/>
                <w:color w:val="000000"/>
              </w:rPr>
              <w:t xml:space="preserve"> </w:t>
            </w:r>
            <w:r>
              <w:rPr>
                <w:rFonts w:hint="eastAsia" w:ascii="宋体" w:hAnsi="宋体" w:cs="微软雅黑"/>
                <w:b/>
                <w:color w:val="000000"/>
              </w:rPr>
              <w:t xml:space="preserve"> </w:t>
            </w:r>
            <w:r>
              <w:rPr>
                <w:rFonts w:ascii="宋体" w:hAnsi="宋体" w:cs="微软雅黑"/>
                <w:b/>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59" w:hRule="atLeast"/>
          <w:jc w:val="center"/>
        </w:trPr>
        <w:tc>
          <w:tcPr>
            <w:tcW w:w="1208" w:type="dxa"/>
            <w:shd w:val="clear" w:color="auto" w:fill="D9E2F3"/>
          </w:tcPr>
          <w:p>
            <w:pPr>
              <w:spacing w:line="259" w:lineRule="auto"/>
              <w:jc w:val="center"/>
              <w:rPr>
                <w:rFonts w:ascii="宋体" w:hAnsi="宋体" w:cs="微软雅黑"/>
                <w:b/>
                <w:color w:val="000000"/>
              </w:rPr>
            </w:pPr>
            <w:r>
              <w:rPr>
                <w:rFonts w:hint="eastAsia" w:ascii="宋体" w:hAnsi="宋体" w:cs="微软雅黑"/>
                <w:b/>
                <w:color w:val="000000"/>
              </w:rPr>
              <w:t>第6节</w:t>
            </w:r>
          </w:p>
        </w:tc>
        <w:tc>
          <w:tcPr>
            <w:tcW w:w="4087" w:type="dxa"/>
            <w:shd w:val="clear" w:color="auto" w:fill="D9E2F3"/>
          </w:tcPr>
          <w:p>
            <w:pPr>
              <w:spacing w:line="259" w:lineRule="auto"/>
              <w:jc w:val="center"/>
              <w:rPr>
                <w:rFonts w:ascii="宋体" w:hAnsi="宋体" w:cs="微软雅黑"/>
                <w:b/>
                <w:color w:val="000000"/>
              </w:rPr>
            </w:pPr>
            <w:r>
              <w:rPr>
                <w:rFonts w:hint="eastAsia" w:ascii="宋体" w:hAnsi="宋体" w:cs="微软雅黑"/>
                <w:b/>
                <w:color w:val="000000"/>
              </w:rPr>
              <w:t>资源</w:t>
            </w:r>
            <w:r>
              <w:rPr>
                <w:rFonts w:hint="eastAsia" w:ascii="宋体" w:hAnsi="宋体" w:cs="微软雅黑"/>
                <w:color w:val="000000"/>
              </w:rPr>
              <w:t>（12）</w:t>
            </w:r>
          </w:p>
        </w:tc>
        <w:tc>
          <w:tcPr>
            <w:tcW w:w="1556" w:type="dxa"/>
            <w:gridSpan w:val="2"/>
            <w:shd w:val="clear" w:color="auto" w:fill="D9E2F3"/>
          </w:tcPr>
          <w:p>
            <w:pPr>
              <w:spacing w:line="259" w:lineRule="auto"/>
              <w:ind w:right="45"/>
              <w:jc w:val="center"/>
              <w:rPr>
                <w:rFonts w:ascii="宋体" w:hAnsi="宋体" w:cs="微软雅黑"/>
                <w:b/>
                <w:color w:val="000000"/>
              </w:rPr>
            </w:pPr>
            <w:r>
              <w:rPr>
                <w:rFonts w:hint="eastAsia" w:ascii="宋体" w:hAnsi="宋体" w:cs="微软雅黑"/>
                <w:b/>
                <w:color w:val="000000"/>
              </w:rPr>
              <w:t>扣分值</w:t>
            </w:r>
          </w:p>
        </w:tc>
        <w:tc>
          <w:tcPr>
            <w:tcW w:w="2652" w:type="dxa"/>
            <w:shd w:val="clear" w:color="auto" w:fill="D9E2F3"/>
          </w:tcPr>
          <w:p>
            <w:pPr>
              <w:spacing w:line="259" w:lineRule="auto"/>
              <w:ind w:right="45"/>
              <w:jc w:val="center"/>
              <w:rPr>
                <w:rFonts w:ascii="宋体" w:hAnsi="宋体" w:cs="微软雅黑"/>
                <w:b/>
                <w:color w:val="000000"/>
              </w:rPr>
            </w:pPr>
            <w:r>
              <w:rPr>
                <w:rFonts w:hint="eastAsia" w:ascii="宋体" w:hAnsi="宋体" w:cs="微软雅黑"/>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bottom w:val="single" w:color="auto" w:sz="4" w:space="0"/>
            </w:tcBorders>
            <w:shd w:val="clear" w:color="auto" w:fill="auto"/>
          </w:tcPr>
          <w:p>
            <w:pPr>
              <w:spacing w:line="252" w:lineRule="auto"/>
              <w:jc w:val="center"/>
              <w:rPr>
                <w:rFonts w:ascii="宋体" w:hAnsi="宋体"/>
                <w:color w:val="000000"/>
              </w:rPr>
            </w:pPr>
            <w:r>
              <w:rPr>
                <w:rFonts w:ascii="宋体" w:hAnsi="宋体"/>
                <w:color w:val="000000"/>
              </w:rPr>
              <w:t>6.1</w:t>
            </w:r>
          </w:p>
        </w:tc>
        <w:tc>
          <w:tcPr>
            <w:tcW w:w="4087" w:type="dxa"/>
            <w:shd w:val="clear" w:color="auto" w:fill="auto"/>
          </w:tcPr>
          <w:p>
            <w:pPr>
              <w:spacing w:line="259" w:lineRule="auto"/>
              <w:jc w:val="left"/>
              <w:rPr>
                <w:rFonts w:ascii="宋体" w:hAnsi="宋体"/>
                <w:color w:val="000000"/>
              </w:rPr>
            </w:pPr>
            <w:r>
              <w:rPr>
                <w:rFonts w:hint="eastAsia" w:ascii="宋体" w:hAnsi="宋体" w:cs="微软雅黑"/>
                <w:color w:val="000000"/>
              </w:rPr>
              <w:t>根据投标承诺足额配备人员（8）</w:t>
            </w:r>
          </w:p>
        </w:tc>
        <w:tc>
          <w:tcPr>
            <w:tcW w:w="1556" w:type="dxa"/>
            <w:gridSpan w:val="2"/>
            <w:shd w:val="clear" w:color="auto" w:fill="auto"/>
          </w:tcPr>
          <w:p>
            <w:pPr>
              <w:spacing w:line="259" w:lineRule="auto"/>
              <w:ind w:left="2"/>
              <w:jc w:val="center"/>
              <w:rPr>
                <w:rFonts w:ascii="宋体" w:hAnsi="宋体"/>
                <w:color w:val="000000"/>
              </w:rPr>
            </w:pPr>
            <w:r>
              <w:rPr>
                <w:rFonts w:ascii="宋体" w:hAnsi="宋体"/>
                <w:color w:val="000000"/>
              </w:rPr>
              <w:t xml:space="preserve">  </w:t>
            </w: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6.1.1</w:t>
            </w:r>
          </w:p>
        </w:tc>
        <w:tc>
          <w:tcPr>
            <w:tcW w:w="4087" w:type="dxa"/>
            <w:shd w:val="clear" w:color="auto" w:fill="auto"/>
          </w:tcPr>
          <w:p>
            <w:pPr>
              <w:spacing w:line="259" w:lineRule="auto"/>
              <w:jc w:val="left"/>
              <w:rPr>
                <w:rFonts w:ascii="宋体" w:hAnsi="宋体" w:cs="微软雅黑"/>
                <w:color w:val="000000"/>
              </w:rPr>
            </w:pPr>
            <w:r>
              <w:rPr>
                <w:rFonts w:hint="eastAsia" w:ascii="宋体" w:hAnsi="宋体" w:cs="微软雅黑"/>
                <w:color w:val="000000"/>
              </w:rPr>
              <w:t>是否按投标承诺足额配备人员20人</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color w:val="000000"/>
              </w:rPr>
            </w:pPr>
            <w:r>
              <w:rPr>
                <w:rFonts w:ascii="宋体" w:hAnsi="宋体"/>
                <w:color w:val="000000"/>
              </w:rPr>
              <w:t>6.2</w:t>
            </w:r>
          </w:p>
        </w:tc>
        <w:tc>
          <w:tcPr>
            <w:tcW w:w="4087" w:type="dxa"/>
            <w:shd w:val="clear" w:color="auto" w:fill="auto"/>
          </w:tcPr>
          <w:p>
            <w:pPr>
              <w:spacing w:line="259" w:lineRule="auto"/>
              <w:jc w:val="left"/>
              <w:rPr>
                <w:rFonts w:ascii="宋体" w:hAnsi="宋体"/>
                <w:color w:val="000000"/>
              </w:rPr>
            </w:pPr>
            <w:r>
              <w:rPr>
                <w:rFonts w:hint="eastAsia" w:ascii="宋体" w:hAnsi="宋体" w:cs="微软雅黑"/>
                <w:color w:val="000000"/>
              </w:rPr>
              <w:t>根据投标承诺提供设备及耗材等（2）</w:t>
            </w:r>
          </w:p>
        </w:tc>
        <w:tc>
          <w:tcPr>
            <w:tcW w:w="1556" w:type="dxa"/>
            <w:gridSpan w:val="2"/>
            <w:shd w:val="clear" w:color="auto" w:fill="auto"/>
          </w:tcPr>
          <w:p>
            <w:pPr>
              <w:spacing w:line="259" w:lineRule="auto"/>
              <w:ind w:left="2"/>
              <w:jc w:val="center"/>
              <w:rPr>
                <w:rFonts w:ascii="宋体" w:hAnsi="宋体"/>
                <w:color w:val="000000"/>
              </w:rPr>
            </w:pPr>
            <w:r>
              <w:rPr>
                <w:rFonts w:ascii="宋体" w:hAnsi="宋体"/>
                <w:color w:val="000000"/>
              </w:rPr>
              <w:t xml:space="preserve"> </w:t>
            </w:r>
          </w:p>
        </w:tc>
        <w:tc>
          <w:tcPr>
            <w:tcW w:w="2652" w:type="dxa"/>
            <w:shd w:val="clear" w:color="auto" w:fill="auto"/>
          </w:tcPr>
          <w:p>
            <w:pPr>
              <w:spacing w:line="259" w:lineRule="auto"/>
              <w:rPr>
                <w:rFonts w:ascii="宋体" w:hAnsi="宋体"/>
                <w:color w:val="000000"/>
              </w:rPr>
            </w:pPr>
            <w:r>
              <w:rPr>
                <w:rFonts w:ascii="宋体" w:hAnsi="宋体"/>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6.2.1</w:t>
            </w:r>
          </w:p>
        </w:tc>
        <w:tc>
          <w:tcPr>
            <w:tcW w:w="4087" w:type="dxa"/>
            <w:shd w:val="clear" w:color="auto" w:fill="auto"/>
          </w:tcPr>
          <w:p>
            <w:pPr>
              <w:spacing w:line="259" w:lineRule="auto"/>
              <w:jc w:val="left"/>
              <w:rPr>
                <w:rFonts w:ascii="宋体" w:hAnsi="宋体" w:cs="微软雅黑"/>
                <w:color w:val="000000"/>
              </w:rPr>
            </w:pPr>
            <w:r>
              <w:rPr>
                <w:rFonts w:hint="eastAsia" w:ascii="宋体" w:hAnsi="宋体" w:cs="微软雅黑"/>
              </w:rPr>
              <w:t>配备电脑(接通互联网）、电话、传真机等办公设备</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6.3</w:t>
            </w:r>
          </w:p>
        </w:tc>
        <w:tc>
          <w:tcPr>
            <w:tcW w:w="4087" w:type="dxa"/>
            <w:shd w:val="clear" w:color="auto" w:fill="auto"/>
          </w:tcPr>
          <w:p>
            <w:pPr>
              <w:spacing w:line="259" w:lineRule="auto"/>
              <w:jc w:val="left"/>
              <w:rPr>
                <w:rFonts w:ascii="宋体" w:hAnsi="宋体" w:cs="微软雅黑"/>
              </w:rPr>
            </w:pPr>
            <w:r>
              <w:rPr>
                <w:rFonts w:hint="eastAsia" w:ascii="宋体" w:hAnsi="宋体" w:cs="微软雅黑"/>
              </w:rPr>
              <w:t>用房检查（2）</w:t>
            </w:r>
          </w:p>
        </w:tc>
        <w:tc>
          <w:tcPr>
            <w:tcW w:w="1556" w:type="dxa"/>
            <w:gridSpan w:val="2"/>
            <w:shd w:val="clear" w:color="auto" w:fill="auto"/>
          </w:tcPr>
          <w:p>
            <w:pPr>
              <w:spacing w:line="259" w:lineRule="auto"/>
              <w:ind w:left="2"/>
              <w:jc w:val="center"/>
              <w:rPr>
                <w:rFonts w:ascii="宋体" w:hAnsi="宋体"/>
                <w:color w:val="000000"/>
              </w:rPr>
            </w:pPr>
          </w:p>
        </w:tc>
        <w:tc>
          <w:tcPr>
            <w:tcW w:w="2652" w:type="dxa"/>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432" w:hRule="atLeast"/>
          <w:jc w:val="center"/>
        </w:trPr>
        <w:tc>
          <w:tcPr>
            <w:tcW w:w="9503" w:type="dxa"/>
            <w:gridSpan w:val="5"/>
            <w:shd w:val="clear" w:color="auto" w:fill="auto"/>
          </w:tcPr>
          <w:p>
            <w:pPr>
              <w:spacing w:line="259" w:lineRule="auto"/>
              <w:jc w:val="left"/>
              <w:rPr>
                <w:rFonts w:ascii="宋体" w:hAnsi="宋体"/>
                <w:color w:val="000000"/>
              </w:rPr>
            </w:pPr>
            <w:r>
              <w:rPr>
                <w:rFonts w:hint="eastAsia" w:ascii="宋体" w:hAnsi="宋体" w:cs="微软雅黑"/>
                <w:b/>
                <w:color w:val="000000"/>
              </w:rPr>
              <w:t xml:space="preserve">分项分值： </w:t>
            </w:r>
            <w:r>
              <w:rPr>
                <w:rFonts w:ascii="宋体" w:hAnsi="宋体" w:cs="微软雅黑"/>
                <w:b/>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60" w:hRule="atLeast"/>
          <w:jc w:val="center"/>
        </w:trPr>
        <w:tc>
          <w:tcPr>
            <w:tcW w:w="1208" w:type="dxa"/>
            <w:shd w:val="clear" w:color="auto" w:fill="D9E2F3"/>
          </w:tcPr>
          <w:p>
            <w:pPr>
              <w:spacing w:line="259" w:lineRule="auto"/>
              <w:jc w:val="center"/>
              <w:rPr>
                <w:rFonts w:ascii="宋体" w:hAnsi="宋体" w:cs="微软雅黑"/>
                <w:b/>
                <w:color w:val="000000"/>
              </w:rPr>
            </w:pPr>
            <w:r>
              <w:rPr>
                <w:rFonts w:hint="eastAsia" w:ascii="宋体" w:hAnsi="宋体" w:cs="微软雅黑"/>
                <w:b/>
                <w:color w:val="000000"/>
              </w:rPr>
              <w:t>第7节</w:t>
            </w:r>
          </w:p>
        </w:tc>
        <w:tc>
          <w:tcPr>
            <w:tcW w:w="4087" w:type="dxa"/>
            <w:shd w:val="clear" w:color="auto" w:fill="D9E2F3"/>
          </w:tcPr>
          <w:p>
            <w:pPr>
              <w:spacing w:line="259" w:lineRule="auto"/>
              <w:jc w:val="center"/>
              <w:rPr>
                <w:rFonts w:ascii="宋体" w:hAnsi="宋体" w:cs="微软雅黑"/>
                <w:b/>
                <w:color w:val="000000"/>
              </w:rPr>
            </w:pPr>
            <w:r>
              <w:rPr>
                <w:rFonts w:hint="eastAsia" w:ascii="宋体" w:hAnsi="宋体" w:cs="微软雅黑"/>
                <w:b/>
                <w:color w:val="000000"/>
              </w:rPr>
              <w:t>其他</w:t>
            </w:r>
            <w:r>
              <w:rPr>
                <w:rFonts w:hint="eastAsia" w:ascii="宋体" w:hAnsi="宋体" w:cs="微软雅黑"/>
                <w:color w:val="000000"/>
              </w:rPr>
              <w:t>（2）</w:t>
            </w:r>
          </w:p>
        </w:tc>
        <w:tc>
          <w:tcPr>
            <w:tcW w:w="1556" w:type="dxa"/>
            <w:gridSpan w:val="2"/>
            <w:shd w:val="clear" w:color="auto" w:fill="D9E2F3"/>
          </w:tcPr>
          <w:p>
            <w:pPr>
              <w:spacing w:line="259" w:lineRule="auto"/>
              <w:ind w:right="45"/>
              <w:jc w:val="center"/>
              <w:rPr>
                <w:rFonts w:ascii="宋体" w:hAnsi="宋体" w:cs="微软雅黑"/>
                <w:b/>
                <w:color w:val="000000"/>
              </w:rPr>
            </w:pPr>
            <w:r>
              <w:rPr>
                <w:rFonts w:hint="eastAsia" w:ascii="宋体" w:hAnsi="宋体" w:cs="微软雅黑"/>
                <w:b/>
                <w:color w:val="000000"/>
              </w:rPr>
              <w:t>加减分</w:t>
            </w:r>
          </w:p>
        </w:tc>
        <w:tc>
          <w:tcPr>
            <w:tcW w:w="2652" w:type="dxa"/>
            <w:shd w:val="clear" w:color="auto" w:fill="D9E2F3"/>
          </w:tcPr>
          <w:p>
            <w:pPr>
              <w:spacing w:line="259" w:lineRule="auto"/>
              <w:ind w:right="45"/>
              <w:jc w:val="center"/>
              <w:rPr>
                <w:rFonts w:ascii="宋体" w:hAnsi="宋体" w:cs="微软雅黑"/>
                <w:b/>
                <w:color w:val="000000"/>
              </w:rPr>
            </w:pPr>
            <w:r>
              <w:rPr>
                <w:rFonts w:hint="eastAsia" w:ascii="宋体" w:hAnsi="宋体" w:cs="微软雅黑"/>
                <w:b/>
                <w:color w:val="000000"/>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03" w:hRule="atLeast"/>
          <w:jc w:val="center"/>
        </w:trPr>
        <w:tc>
          <w:tcPr>
            <w:tcW w:w="1208" w:type="dxa"/>
            <w:tcBorders>
              <w:bottom w:val="single" w:color="auto" w:sz="4" w:space="0"/>
            </w:tcBorders>
            <w:shd w:val="clear" w:color="auto" w:fill="auto"/>
          </w:tcPr>
          <w:p>
            <w:pPr>
              <w:spacing w:line="253" w:lineRule="auto"/>
              <w:jc w:val="center"/>
              <w:rPr>
                <w:rFonts w:ascii="宋体" w:hAnsi="宋体"/>
                <w:color w:val="000000"/>
              </w:rPr>
            </w:pPr>
            <w:r>
              <w:rPr>
                <w:rFonts w:ascii="宋体" w:hAnsi="宋体"/>
                <w:color w:val="000000"/>
              </w:rPr>
              <w:t>7.1</w:t>
            </w:r>
          </w:p>
        </w:tc>
        <w:tc>
          <w:tcPr>
            <w:tcW w:w="4087" w:type="dxa"/>
            <w:shd w:val="clear" w:color="auto" w:fill="auto"/>
          </w:tcPr>
          <w:p>
            <w:pPr>
              <w:spacing w:line="259" w:lineRule="auto"/>
              <w:jc w:val="left"/>
              <w:rPr>
                <w:rFonts w:ascii="宋体" w:hAnsi="宋体"/>
                <w:color w:val="000000"/>
              </w:rPr>
            </w:pPr>
            <w:r>
              <w:rPr>
                <w:rFonts w:hint="eastAsia" w:ascii="宋体" w:hAnsi="宋体"/>
                <w:color w:val="000000"/>
              </w:rPr>
              <w:t>用户满意度</w:t>
            </w:r>
            <w:r>
              <w:rPr>
                <w:rFonts w:hint="eastAsia" w:ascii="宋体" w:hAnsi="宋体" w:cs="微软雅黑"/>
                <w:color w:val="000000"/>
              </w:rPr>
              <w:t>（2）</w:t>
            </w:r>
          </w:p>
        </w:tc>
        <w:tc>
          <w:tcPr>
            <w:tcW w:w="1556" w:type="dxa"/>
            <w:gridSpan w:val="2"/>
            <w:shd w:val="clear" w:color="auto" w:fill="auto"/>
          </w:tcPr>
          <w:p>
            <w:pPr>
              <w:spacing w:line="259" w:lineRule="auto"/>
              <w:ind w:left="2"/>
              <w:jc w:val="center"/>
              <w:rPr>
                <w:rFonts w:ascii="宋体" w:hAnsi="宋体"/>
                <w:color w:val="000000"/>
              </w:rPr>
            </w:pPr>
            <w:r>
              <w:rPr>
                <w:rFonts w:ascii="宋体" w:hAnsi="宋体"/>
                <w:color w:val="000000"/>
              </w:rPr>
              <w:t xml:space="preserve">  </w:t>
            </w:r>
          </w:p>
        </w:tc>
        <w:tc>
          <w:tcPr>
            <w:tcW w:w="2652" w:type="dxa"/>
            <w:shd w:val="clear" w:color="auto" w:fill="auto"/>
          </w:tcPr>
          <w:p>
            <w:pPr>
              <w:spacing w:line="259" w:lineRule="auto"/>
              <w:rPr>
                <w:rFonts w:ascii="宋体" w:hAnsi="宋体"/>
                <w:color w:val="000000"/>
              </w:rPr>
            </w:pPr>
            <w:r>
              <w:rPr>
                <w:rFonts w:ascii="宋体" w:hAnsi="宋体"/>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195" w:hRule="atLeast"/>
          <w:jc w:val="center"/>
        </w:trPr>
        <w:tc>
          <w:tcPr>
            <w:tcW w:w="1208" w:type="dxa"/>
            <w:shd w:val="clear" w:color="auto" w:fill="DEEAF6"/>
          </w:tcPr>
          <w:p>
            <w:pPr>
              <w:spacing w:line="259" w:lineRule="auto"/>
              <w:jc w:val="center"/>
              <w:rPr>
                <w:rFonts w:ascii="宋体" w:hAnsi="宋体" w:cs="微软雅黑"/>
                <w:b/>
                <w:color w:val="000000"/>
              </w:rPr>
            </w:pPr>
            <w:r>
              <w:rPr>
                <w:rFonts w:hint="eastAsia" w:ascii="宋体" w:hAnsi="宋体" w:cs="微软雅黑"/>
                <w:b/>
                <w:color w:val="000000"/>
              </w:rPr>
              <w:t>第8节</w:t>
            </w:r>
          </w:p>
        </w:tc>
        <w:tc>
          <w:tcPr>
            <w:tcW w:w="4087" w:type="dxa"/>
            <w:shd w:val="clear" w:color="auto" w:fill="DEEAF6"/>
          </w:tcPr>
          <w:p>
            <w:pPr>
              <w:spacing w:line="259" w:lineRule="auto"/>
              <w:jc w:val="center"/>
              <w:rPr>
                <w:rFonts w:ascii="宋体" w:hAnsi="宋体" w:cs="微软雅黑"/>
                <w:b/>
                <w:color w:val="000000"/>
              </w:rPr>
            </w:pPr>
            <w:r>
              <w:rPr>
                <w:rFonts w:hint="eastAsia" w:ascii="宋体" w:hAnsi="宋体" w:cs="微软雅黑"/>
                <w:b/>
                <w:color w:val="000000"/>
              </w:rPr>
              <w:t>加分项</w:t>
            </w:r>
            <w:r>
              <w:rPr>
                <w:rFonts w:hint="eastAsia" w:ascii="宋体" w:hAnsi="宋体" w:cs="微软雅黑"/>
                <w:color w:val="000000"/>
              </w:rPr>
              <w:t>（10）</w:t>
            </w:r>
          </w:p>
        </w:tc>
        <w:tc>
          <w:tcPr>
            <w:tcW w:w="1556" w:type="dxa"/>
            <w:gridSpan w:val="2"/>
            <w:shd w:val="clear" w:color="auto" w:fill="DEEAF6"/>
          </w:tcPr>
          <w:p>
            <w:pPr>
              <w:spacing w:line="259" w:lineRule="auto"/>
              <w:jc w:val="center"/>
              <w:rPr>
                <w:rFonts w:ascii="宋体" w:hAnsi="宋体" w:cs="微软雅黑"/>
                <w:b/>
                <w:color w:val="000000"/>
              </w:rPr>
            </w:pPr>
            <w:r>
              <w:rPr>
                <w:rFonts w:hint="eastAsia" w:ascii="宋体" w:hAnsi="宋体" w:cs="微软雅黑"/>
                <w:b/>
                <w:color w:val="000000"/>
              </w:rPr>
              <w:t>分值</w:t>
            </w:r>
          </w:p>
        </w:tc>
        <w:tc>
          <w:tcPr>
            <w:tcW w:w="2652" w:type="dxa"/>
            <w:shd w:val="clear" w:color="auto" w:fill="DEEAF6"/>
          </w:tcPr>
          <w:p>
            <w:pPr>
              <w:spacing w:line="259" w:lineRule="auto"/>
              <w:ind w:right="3"/>
              <w:jc w:val="center"/>
              <w:rPr>
                <w:rFonts w:ascii="宋体" w:hAnsi="宋体" w:cs="微软雅黑"/>
                <w:b/>
                <w:color w:val="000000"/>
              </w:rPr>
            </w:pPr>
            <w:r>
              <w:rPr>
                <w:rFonts w:hint="eastAsia" w:ascii="宋体" w:hAnsi="宋体" w:cs="微软雅黑"/>
                <w:b/>
                <w:color w:val="000000"/>
              </w:rPr>
              <w:t>加分原因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57" w:hRule="atLeast"/>
          <w:jc w:val="center"/>
        </w:trPr>
        <w:tc>
          <w:tcPr>
            <w:tcW w:w="1208" w:type="dxa"/>
            <w:tcBorders>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8.1</w:t>
            </w:r>
          </w:p>
        </w:tc>
        <w:tc>
          <w:tcPr>
            <w:tcW w:w="4087" w:type="dxa"/>
            <w:tcBorders>
              <w:bottom w:val="single" w:color="auto" w:sz="4" w:space="0"/>
            </w:tcBorders>
            <w:shd w:val="clear" w:color="auto" w:fill="auto"/>
          </w:tcPr>
          <w:p>
            <w:pPr>
              <w:spacing w:line="252" w:lineRule="auto"/>
              <w:rPr>
                <w:rFonts w:ascii="宋体" w:hAnsi="宋体"/>
                <w:color w:val="000000"/>
              </w:rPr>
            </w:pPr>
            <w:r>
              <w:rPr>
                <w:rFonts w:hint="eastAsia" w:ascii="宋体" w:hAnsi="宋体"/>
                <w:color w:val="000000"/>
              </w:rPr>
              <w:t>好人好事及表扬</w:t>
            </w:r>
            <w:r>
              <w:rPr>
                <w:rFonts w:hint="eastAsia" w:ascii="宋体" w:hAnsi="宋体" w:cs="微软雅黑"/>
                <w:color w:val="000000"/>
              </w:rPr>
              <w:t>（4）</w:t>
            </w:r>
          </w:p>
        </w:tc>
        <w:tc>
          <w:tcPr>
            <w:tcW w:w="1556" w:type="dxa"/>
            <w:gridSpan w:val="2"/>
            <w:shd w:val="clear" w:color="auto" w:fill="auto"/>
          </w:tcPr>
          <w:p>
            <w:pPr>
              <w:spacing w:line="252" w:lineRule="auto"/>
              <w:rPr>
                <w:rFonts w:ascii="宋体" w:hAnsi="宋体"/>
                <w:color w:val="000000"/>
              </w:rPr>
            </w:pPr>
          </w:p>
        </w:tc>
        <w:tc>
          <w:tcPr>
            <w:tcW w:w="2652" w:type="dxa"/>
            <w:shd w:val="clear" w:color="auto" w:fill="auto"/>
          </w:tcPr>
          <w:p>
            <w:pPr>
              <w:spacing w:line="252" w:lineRule="auto"/>
              <w:ind w:right="3"/>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57" w:hRule="atLeast"/>
          <w:jc w:val="center"/>
        </w:trPr>
        <w:tc>
          <w:tcPr>
            <w:tcW w:w="1208" w:type="dxa"/>
            <w:tcBorders>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8.1.1</w:t>
            </w:r>
          </w:p>
        </w:tc>
        <w:tc>
          <w:tcPr>
            <w:tcW w:w="4087" w:type="dxa"/>
            <w:tcBorders>
              <w:bottom w:val="single" w:color="auto" w:sz="4" w:space="0"/>
            </w:tcBorders>
            <w:shd w:val="clear" w:color="auto" w:fill="auto"/>
          </w:tcPr>
          <w:p>
            <w:pPr>
              <w:spacing w:line="252" w:lineRule="auto"/>
              <w:rPr>
                <w:rFonts w:ascii="宋体" w:hAnsi="宋体"/>
              </w:rPr>
            </w:pPr>
            <w:r>
              <w:rPr>
                <w:rFonts w:hint="eastAsia" w:ascii="宋体" w:hAnsi="宋体"/>
              </w:rPr>
              <w:t>员工拾金不昧，得到旅客或航站楼部表扬的</w:t>
            </w:r>
          </w:p>
        </w:tc>
        <w:tc>
          <w:tcPr>
            <w:tcW w:w="1556" w:type="dxa"/>
            <w:gridSpan w:val="2"/>
            <w:shd w:val="clear" w:color="auto" w:fill="auto"/>
          </w:tcPr>
          <w:p>
            <w:pPr>
              <w:spacing w:line="252" w:lineRule="auto"/>
              <w:rPr>
                <w:rFonts w:ascii="宋体" w:hAnsi="宋体"/>
                <w:color w:val="000000"/>
              </w:rPr>
            </w:pPr>
          </w:p>
        </w:tc>
        <w:tc>
          <w:tcPr>
            <w:tcW w:w="2652" w:type="dxa"/>
            <w:shd w:val="clear" w:color="auto" w:fill="auto"/>
          </w:tcPr>
          <w:p>
            <w:pPr>
              <w:spacing w:line="252" w:lineRule="auto"/>
              <w:ind w:right="3"/>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57" w:hRule="atLeast"/>
          <w:jc w:val="center"/>
        </w:trPr>
        <w:tc>
          <w:tcPr>
            <w:tcW w:w="1208" w:type="dxa"/>
            <w:tcBorders>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8.1.2</w:t>
            </w:r>
          </w:p>
        </w:tc>
        <w:tc>
          <w:tcPr>
            <w:tcW w:w="4087" w:type="dxa"/>
            <w:tcBorders>
              <w:bottom w:val="single" w:color="auto" w:sz="4" w:space="0"/>
            </w:tcBorders>
            <w:shd w:val="clear" w:color="auto" w:fill="auto"/>
          </w:tcPr>
          <w:p>
            <w:pPr>
              <w:spacing w:line="252" w:lineRule="auto"/>
              <w:rPr>
                <w:rFonts w:ascii="宋体" w:hAnsi="宋体"/>
              </w:rPr>
            </w:pPr>
            <w:r>
              <w:rPr>
                <w:rFonts w:hint="eastAsia" w:ascii="宋体" w:hAnsi="宋体"/>
              </w:rPr>
              <w:t>得到新闻媒体表扬的</w:t>
            </w:r>
          </w:p>
        </w:tc>
        <w:tc>
          <w:tcPr>
            <w:tcW w:w="1556" w:type="dxa"/>
            <w:gridSpan w:val="2"/>
            <w:shd w:val="clear" w:color="auto" w:fill="auto"/>
          </w:tcPr>
          <w:p>
            <w:pPr>
              <w:spacing w:line="252" w:lineRule="auto"/>
              <w:rPr>
                <w:rFonts w:ascii="宋体" w:hAnsi="宋体"/>
                <w:color w:val="000000"/>
              </w:rPr>
            </w:pPr>
          </w:p>
        </w:tc>
        <w:tc>
          <w:tcPr>
            <w:tcW w:w="2652" w:type="dxa"/>
            <w:shd w:val="clear" w:color="auto" w:fill="auto"/>
          </w:tcPr>
          <w:p>
            <w:pPr>
              <w:spacing w:line="252" w:lineRule="auto"/>
              <w:ind w:right="3"/>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57" w:hRule="atLeast"/>
          <w:jc w:val="center"/>
        </w:trPr>
        <w:tc>
          <w:tcPr>
            <w:tcW w:w="1208" w:type="dxa"/>
            <w:tcBorders>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8.1.3</w:t>
            </w:r>
          </w:p>
        </w:tc>
        <w:tc>
          <w:tcPr>
            <w:tcW w:w="4087" w:type="dxa"/>
            <w:tcBorders>
              <w:bottom w:val="single" w:color="auto" w:sz="4" w:space="0"/>
            </w:tcBorders>
            <w:shd w:val="clear" w:color="auto" w:fill="auto"/>
          </w:tcPr>
          <w:p>
            <w:pPr>
              <w:spacing w:line="252" w:lineRule="auto"/>
              <w:rPr>
                <w:rFonts w:ascii="宋体" w:hAnsi="宋体"/>
              </w:rPr>
            </w:pPr>
            <w:r>
              <w:rPr>
                <w:rFonts w:hint="eastAsia" w:ascii="宋体" w:hAnsi="宋体"/>
              </w:rPr>
              <w:t>得到机场公司表扬的</w:t>
            </w:r>
          </w:p>
        </w:tc>
        <w:tc>
          <w:tcPr>
            <w:tcW w:w="1556" w:type="dxa"/>
            <w:gridSpan w:val="2"/>
            <w:shd w:val="clear" w:color="auto" w:fill="auto"/>
          </w:tcPr>
          <w:p>
            <w:pPr>
              <w:spacing w:line="252" w:lineRule="auto"/>
              <w:rPr>
                <w:rFonts w:ascii="宋体" w:hAnsi="宋体"/>
                <w:color w:val="000000"/>
              </w:rPr>
            </w:pPr>
          </w:p>
        </w:tc>
        <w:tc>
          <w:tcPr>
            <w:tcW w:w="2652" w:type="dxa"/>
            <w:shd w:val="clear" w:color="auto" w:fill="auto"/>
          </w:tcPr>
          <w:p>
            <w:pPr>
              <w:spacing w:line="252" w:lineRule="auto"/>
              <w:ind w:right="3"/>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62" w:hRule="atLeast"/>
          <w:jc w:val="center"/>
        </w:trPr>
        <w:tc>
          <w:tcPr>
            <w:tcW w:w="1208" w:type="dxa"/>
            <w:tcBorders>
              <w:top w:val="single" w:color="auto" w:sz="4" w:space="0"/>
              <w:bottom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8.2</w:t>
            </w:r>
          </w:p>
        </w:tc>
        <w:tc>
          <w:tcPr>
            <w:tcW w:w="4087" w:type="dxa"/>
            <w:tcBorders>
              <w:top w:val="single" w:color="auto" w:sz="4" w:space="0"/>
            </w:tcBorders>
            <w:shd w:val="clear" w:color="auto" w:fill="auto"/>
          </w:tcPr>
          <w:p>
            <w:pPr>
              <w:spacing w:line="252" w:lineRule="auto"/>
              <w:rPr>
                <w:rFonts w:ascii="宋体" w:hAnsi="宋体"/>
              </w:rPr>
            </w:pPr>
            <w:r>
              <w:rPr>
                <w:rFonts w:hint="eastAsia" w:ascii="宋体" w:hAnsi="宋体"/>
              </w:rPr>
              <w:t>提出可行性建议</w:t>
            </w:r>
            <w:r>
              <w:rPr>
                <w:rFonts w:hint="eastAsia" w:ascii="宋体" w:hAnsi="宋体" w:cs="微软雅黑"/>
              </w:rPr>
              <w:t>（2）</w:t>
            </w:r>
          </w:p>
        </w:tc>
        <w:tc>
          <w:tcPr>
            <w:tcW w:w="1556" w:type="dxa"/>
            <w:gridSpan w:val="2"/>
            <w:shd w:val="clear" w:color="auto" w:fill="auto"/>
          </w:tcPr>
          <w:p>
            <w:pPr>
              <w:spacing w:line="252" w:lineRule="auto"/>
              <w:rPr>
                <w:rFonts w:ascii="宋体" w:hAnsi="宋体"/>
                <w:color w:val="000000"/>
              </w:rPr>
            </w:pPr>
          </w:p>
        </w:tc>
        <w:tc>
          <w:tcPr>
            <w:tcW w:w="2652" w:type="dxa"/>
            <w:shd w:val="clear" w:color="auto" w:fill="auto"/>
          </w:tcPr>
          <w:p>
            <w:pPr>
              <w:spacing w:line="252" w:lineRule="auto"/>
              <w:ind w:right="3"/>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128" w:hRule="atLeast"/>
          <w:jc w:val="center"/>
        </w:trPr>
        <w:tc>
          <w:tcPr>
            <w:tcW w:w="1208" w:type="dxa"/>
            <w:tcBorders>
              <w:top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8.3</w:t>
            </w:r>
          </w:p>
        </w:tc>
        <w:tc>
          <w:tcPr>
            <w:tcW w:w="4087" w:type="dxa"/>
            <w:shd w:val="clear" w:color="auto" w:fill="auto"/>
          </w:tcPr>
          <w:p>
            <w:pPr>
              <w:spacing w:line="252" w:lineRule="auto"/>
              <w:jc w:val="left"/>
              <w:rPr>
                <w:rFonts w:ascii="宋体" w:hAnsi="宋体"/>
              </w:rPr>
            </w:pPr>
            <w:r>
              <w:rPr>
                <w:rFonts w:hint="eastAsia" w:ascii="宋体" w:hAnsi="宋体"/>
              </w:rPr>
              <w:t>发现隐患主动上报并着手整改解决</w:t>
            </w:r>
            <w:r>
              <w:rPr>
                <w:rFonts w:hint="eastAsia" w:ascii="宋体" w:hAnsi="宋体" w:cs="微软雅黑"/>
              </w:rPr>
              <w:t>（4）</w:t>
            </w:r>
          </w:p>
        </w:tc>
        <w:tc>
          <w:tcPr>
            <w:tcW w:w="1556" w:type="dxa"/>
            <w:gridSpan w:val="2"/>
            <w:shd w:val="clear" w:color="auto" w:fill="auto"/>
          </w:tcPr>
          <w:p>
            <w:pPr>
              <w:spacing w:line="252" w:lineRule="auto"/>
              <w:rPr>
                <w:rFonts w:ascii="宋体" w:hAnsi="宋体"/>
                <w:color w:val="000000"/>
              </w:rPr>
            </w:pPr>
          </w:p>
        </w:tc>
        <w:tc>
          <w:tcPr>
            <w:tcW w:w="2652" w:type="dxa"/>
            <w:shd w:val="clear" w:color="auto" w:fill="auto"/>
          </w:tcPr>
          <w:p>
            <w:pPr>
              <w:spacing w:line="252" w:lineRule="auto"/>
              <w:ind w:right="3"/>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128" w:hRule="atLeast"/>
          <w:jc w:val="center"/>
        </w:trPr>
        <w:tc>
          <w:tcPr>
            <w:tcW w:w="1208" w:type="dxa"/>
            <w:tcBorders>
              <w:top w:val="single" w:color="auto" w:sz="4" w:space="0"/>
            </w:tcBorders>
            <w:shd w:val="clear" w:color="auto" w:fill="auto"/>
          </w:tcPr>
          <w:p>
            <w:pPr>
              <w:spacing w:line="252" w:lineRule="auto"/>
              <w:jc w:val="center"/>
              <w:rPr>
                <w:rFonts w:ascii="宋体" w:hAnsi="宋体"/>
                <w:color w:val="000000"/>
              </w:rPr>
            </w:pPr>
            <w:r>
              <w:rPr>
                <w:rFonts w:hint="eastAsia" w:ascii="宋体" w:hAnsi="宋体"/>
                <w:color w:val="000000"/>
              </w:rPr>
              <w:t>8.3.1</w:t>
            </w:r>
          </w:p>
        </w:tc>
        <w:tc>
          <w:tcPr>
            <w:tcW w:w="4087" w:type="dxa"/>
            <w:shd w:val="clear" w:color="auto" w:fill="auto"/>
          </w:tcPr>
          <w:p>
            <w:pPr>
              <w:spacing w:line="252" w:lineRule="auto"/>
              <w:jc w:val="left"/>
              <w:rPr>
                <w:rFonts w:ascii="宋体" w:hAnsi="宋体"/>
              </w:rPr>
            </w:pPr>
            <w:r>
              <w:rPr>
                <w:rFonts w:hint="eastAsia" w:ascii="宋体" w:hAnsi="宋体"/>
              </w:rPr>
              <w:t>乙方员工发现航站楼内安全隐患并及时上报的</w:t>
            </w:r>
          </w:p>
        </w:tc>
        <w:tc>
          <w:tcPr>
            <w:tcW w:w="1556" w:type="dxa"/>
            <w:gridSpan w:val="2"/>
            <w:shd w:val="clear" w:color="auto" w:fill="auto"/>
          </w:tcPr>
          <w:p>
            <w:pPr>
              <w:spacing w:line="252" w:lineRule="auto"/>
              <w:rPr>
                <w:rFonts w:ascii="宋体" w:hAnsi="宋体"/>
                <w:color w:val="000000"/>
              </w:rPr>
            </w:pPr>
          </w:p>
        </w:tc>
        <w:tc>
          <w:tcPr>
            <w:tcW w:w="2652" w:type="dxa"/>
            <w:shd w:val="clear" w:color="auto" w:fill="auto"/>
          </w:tcPr>
          <w:p>
            <w:pPr>
              <w:spacing w:line="252" w:lineRule="auto"/>
              <w:ind w:right="3"/>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63" w:hRule="atLeast"/>
          <w:jc w:val="center"/>
        </w:trPr>
        <w:tc>
          <w:tcPr>
            <w:tcW w:w="9503" w:type="dxa"/>
            <w:gridSpan w:val="5"/>
            <w:shd w:val="clear" w:color="auto" w:fill="auto"/>
          </w:tcPr>
          <w:p>
            <w:pPr>
              <w:spacing w:line="259" w:lineRule="auto"/>
              <w:jc w:val="left"/>
              <w:rPr>
                <w:rFonts w:ascii="宋体" w:hAnsi="宋体"/>
                <w:color w:val="000000"/>
              </w:rPr>
            </w:pPr>
            <w:r>
              <w:rPr>
                <w:rFonts w:hint="eastAsia" w:ascii="宋体" w:hAnsi="宋体" w:cs="微软雅黑"/>
                <w:b/>
                <w:color w:val="000000"/>
              </w:rPr>
              <w:t xml:space="preserve">分项分值： </w:t>
            </w:r>
            <w:r>
              <w:rPr>
                <w:rFonts w:ascii="宋体" w:hAnsi="宋体" w:cs="微软雅黑"/>
                <w:b/>
                <w:color w:val="000000"/>
              </w:rPr>
              <w:t xml:space="preserve"> </w:t>
            </w:r>
            <w:r>
              <w:rPr>
                <w:rFonts w:hint="eastAsia" w:ascii="宋体" w:hAnsi="宋体" w:cs="微软雅黑"/>
                <w:b/>
                <w:color w:val="000000"/>
              </w:rPr>
              <w:t xml:space="preserve"> </w:t>
            </w:r>
            <w:r>
              <w:rPr>
                <w:rFonts w:ascii="宋体" w:hAnsi="宋体" w:cs="微软雅黑"/>
                <w:b/>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263" w:hRule="atLeast"/>
          <w:jc w:val="center"/>
        </w:trPr>
        <w:tc>
          <w:tcPr>
            <w:tcW w:w="9503" w:type="dxa"/>
            <w:gridSpan w:val="5"/>
            <w:shd w:val="clear" w:color="auto" w:fill="auto"/>
          </w:tcPr>
          <w:p>
            <w:pPr>
              <w:spacing w:line="259" w:lineRule="auto"/>
              <w:jc w:val="left"/>
              <w:rPr>
                <w:rFonts w:ascii="宋体" w:hAnsi="宋体" w:cs="微软雅黑"/>
                <w:b/>
                <w:color w:val="000000"/>
              </w:rPr>
            </w:pPr>
            <w:r>
              <w:rPr>
                <w:rFonts w:hint="eastAsia" w:ascii="宋体" w:hAnsi="宋体" w:cs="微软雅黑"/>
                <w:b/>
                <w:color w:val="000000"/>
              </w:rPr>
              <w:t>加分分值：</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39" w:hRule="atLeast"/>
          <w:jc w:val="center"/>
        </w:trPr>
        <w:tc>
          <w:tcPr>
            <w:tcW w:w="9503" w:type="dxa"/>
            <w:gridSpan w:val="5"/>
            <w:shd w:val="clear" w:color="auto" w:fill="auto"/>
          </w:tcPr>
          <w:p>
            <w:pPr>
              <w:spacing w:line="259" w:lineRule="auto"/>
              <w:jc w:val="left"/>
              <w:rPr>
                <w:rFonts w:ascii="宋体" w:hAnsi="宋体" w:cs="微软雅黑"/>
                <w:b/>
                <w:color w:val="000000"/>
              </w:rPr>
            </w:pPr>
            <w:r>
              <w:rPr>
                <w:rFonts w:hint="eastAsia" w:ascii="宋体" w:hAnsi="宋体" w:cs="微软雅黑"/>
                <w:b/>
                <w:color w:val="000000"/>
              </w:rPr>
              <w:t xml:space="preserve">最终分值： </w:t>
            </w:r>
            <w:r>
              <w:rPr>
                <w:rFonts w:ascii="宋体" w:hAnsi="宋体" w:cs="微软雅黑"/>
                <w:b/>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gridAfter w:val="1"/>
          <w:wAfter w:w="30" w:type="dxa"/>
          <w:trHeight w:val="3769" w:hRule="atLeast"/>
          <w:jc w:val="center"/>
        </w:trPr>
        <w:tc>
          <w:tcPr>
            <w:tcW w:w="9503" w:type="dxa"/>
            <w:gridSpan w:val="5"/>
            <w:shd w:val="clear" w:color="auto" w:fill="auto"/>
          </w:tcPr>
          <w:p>
            <w:pPr>
              <w:spacing w:line="259" w:lineRule="auto"/>
              <w:jc w:val="left"/>
              <w:rPr>
                <w:rFonts w:ascii="宋体" w:hAnsi="宋体" w:cs="微软雅黑"/>
                <w:b/>
                <w:color w:val="000000"/>
              </w:rPr>
            </w:pPr>
            <w:r>
              <w:rPr>
                <w:rFonts w:hint="eastAsia" w:ascii="宋体" w:hAnsi="宋体" w:cs="微软雅黑"/>
                <w:b/>
                <w:color w:val="000000"/>
              </w:rPr>
              <w:t>具体检查情况描述：</w:t>
            </w:r>
          </w:p>
          <w:p>
            <w:pPr>
              <w:spacing w:line="259" w:lineRule="auto"/>
              <w:ind w:right="765"/>
              <w:jc w:val="left"/>
              <w:rPr>
                <w:rFonts w:ascii="宋体" w:hAnsi="宋体" w:cs="微软雅黑"/>
                <w:b/>
                <w:color w:val="000000"/>
              </w:rPr>
            </w:pPr>
          </w:p>
          <w:p>
            <w:pPr>
              <w:spacing w:line="259" w:lineRule="auto"/>
              <w:ind w:right="765"/>
              <w:jc w:val="left"/>
              <w:rPr>
                <w:rFonts w:ascii="宋体" w:hAnsi="宋体" w:cs="微软雅黑"/>
                <w:b/>
                <w:color w:val="000000"/>
              </w:rPr>
            </w:pPr>
          </w:p>
          <w:p>
            <w:pPr>
              <w:spacing w:line="259" w:lineRule="auto"/>
              <w:ind w:right="765"/>
              <w:jc w:val="left"/>
              <w:rPr>
                <w:rFonts w:ascii="宋体" w:hAnsi="宋体" w:cs="微软雅黑"/>
                <w:b/>
                <w:color w:val="000000"/>
              </w:rPr>
            </w:pPr>
          </w:p>
          <w:p>
            <w:pPr>
              <w:spacing w:line="259" w:lineRule="auto"/>
              <w:ind w:right="765"/>
              <w:jc w:val="left"/>
              <w:rPr>
                <w:rFonts w:ascii="宋体" w:hAnsi="宋体" w:cs="微软雅黑"/>
                <w:b/>
                <w:color w:val="000000"/>
              </w:rPr>
            </w:pPr>
          </w:p>
          <w:p>
            <w:pPr>
              <w:spacing w:line="259" w:lineRule="auto"/>
              <w:ind w:right="765"/>
              <w:jc w:val="left"/>
              <w:rPr>
                <w:rFonts w:ascii="宋体" w:hAnsi="宋体" w:cs="微软雅黑"/>
                <w:b/>
                <w:color w:val="000000"/>
              </w:rPr>
            </w:pPr>
          </w:p>
          <w:p>
            <w:pPr>
              <w:spacing w:line="259" w:lineRule="auto"/>
              <w:ind w:right="765"/>
              <w:jc w:val="left"/>
              <w:rPr>
                <w:rFonts w:ascii="宋体" w:hAnsi="宋体" w:cs="微软雅黑"/>
                <w:b/>
                <w:color w:val="000000"/>
              </w:rPr>
            </w:pPr>
          </w:p>
          <w:p>
            <w:pPr>
              <w:spacing w:line="259" w:lineRule="auto"/>
              <w:ind w:right="765"/>
              <w:jc w:val="left"/>
              <w:rPr>
                <w:rFonts w:ascii="宋体" w:hAnsi="宋体" w:cs="微软雅黑"/>
                <w:b/>
                <w:color w:val="000000"/>
              </w:rPr>
            </w:pPr>
            <w:r>
              <w:rPr>
                <w:rFonts w:hint="eastAsia" w:ascii="宋体" w:hAnsi="宋体" w:cs="微软雅黑"/>
                <w:b/>
                <w:color w:val="000000"/>
              </w:rPr>
              <w:t>乙方负责人签字：                            监管人员签字：</w:t>
            </w:r>
          </w:p>
          <w:p>
            <w:pPr>
              <w:spacing w:line="259" w:lineRule="auto"/>
              <w:ind w:right="765"/>
              <w:jc w:val="left"/>
              <w:rPr>
                <w:rFonts w:ascii="宋体" w:hAnsi="宋体" w:cs="微软雅黑"/>
                <w:b/>
                <w:color w:val="000000"/>
              </w:rPr>
            </w:pPr>
          </w:p>
          <w:p>
            <w:pPr>
              <w:spacing w:line="259" w:lineRule="auto"/>
              <w:ind w:right="765"/>
              <w:jc w:val="left"/>
              <w:rPr>
                <w:rFonts w:ascii="宋体" w:hAnsi="宋体" w:cs="微软雅黑"/>
                <w:b/>
                <w:color w:val="000000"/>
              </w:rPr>
            </w:pPr>
            <w:r>
              <w:rPr>
                <w:rFonts w:hint="eastAsia" w:ascii="宋体" w:hAnsi="宋体" w:cs="微软雅黑"/>
                <w:b/>
                <w:color w:val="000000"/>
              </w:rPr>
              <w:t xml:space="preserve">                                            三级领导签字：</w:t>
            </w:r>
          </w:p>
        </w:tc>
      </w:tr>
    </w:tbl>
    <w:p>
      <w:pPr>
        <w:spacing w:line="259" w:lineRule="auto"/>
        <w:jc w:val="left"/>
        <w:rPr>
          <w:rFonts w:ascii="宋体" w:hAnsi="宋体" w:cs="微软雅黑"/>
          <w:color w:val="000000"/>
        </w:rPr>
      </w:pPr>
      <w:r>
        <w:rPr>
          <w:rFonts w:hint="eastAsia" w:ascii="宋体" w:hAnsi="宋体" w:cs="微软雅黑"/>
          <w:color w:val="000000"/>
        </w:rPr>
        <w:t>备注：本表适用于劳务类项目，默认满分100分。最低满额付款得分为</w:t>
      </w:r>
      <w:r>
        <w:rPr>
          <w:rFonts w:hint="eastAsia" w:ascii="宋体" w:hAnsi="宋体" w:cs="微软雅黑"/>
          <w:color w:val="000000"/>
          <w:u w:val="single"/>
        </w:rPr>
        <w:t xml:space="preserve"> 95  </w:t>
      </w:r>
      <w:r>
        <w:rPr>
          <w:rFonts w:hint="eastAsia" w:ascii="宋体" w:hAnsi="宋体" w:cs="微软雅黑"/>
          <w:color w:val="000000"/>
        </w:rPr>
        <w:t>。</w:t>
      </w:r>
    </w:p>
    <w:p>
      <w:pPr>
        <w:spacing w:line="259" w:lineRule="auto"/>
        <w:ind w:right="765"/>
        <w:rPr>
          <w:rFonts w:ascii="Adobe 楷体 Std R" w:hAnsi="Adobe 楷体 Std R" w:eastAsia="Adobe 楷体 Std R"/>
          <w:szCs w:val="32"/>
        </w:rPr>
      </w:pPr>
      <w:r>
        <w:rPr>
          <w:rFonts w:ascii="Adobe 楷体 Std R" w:hAnsi="Adobe 楷体 Std R" w:eastAsia="Adobe 楷体 Std R"/>
          <w:szCs w:val="32"/>
        </w:rPr>
        <w:t xml:space="preserve"> </w:t>
      </w:r>
    </w:p>
    <w:p>
      <w:pPr>
        <w:widowControl/>
        <w:jc w:val="left"/>
        <w:rPr>
          <w:rFonts w:ascii="Adobe 楷体 Std R" w:hAnsi="Adobe 楷体 Std R" w:eastAsia="Adobe 楷体 Std R"/>
          <w:szCs w:val="32"/>
        </w:rPr>
      </w:pPr>
      <w:r>
        <w:rPr>
          <w:rFonts w:ascii="Adobe 楷体 Std R" w:hAnsi="Adobe 楷体 Std R" w:eastAsia="Adobe 楷体 Std R"/>
          <w:szCs w:val="32"/>
        </w:rPr>
        <w:br w:type="page"/>
      </w:r>
    </w:p>
    <w:p>
      <w:pPr>
        <w:pStyle w:val="771"/>
        <w:spacing w:line="259" w:lineRule="auto"/>
        <w:ind w:left="420" w:right="765" w:firstLine="0" w:firstLineChars="0"/>
        <w:jc w:val="center"/>
        <w:rPr>
          <w:rFonts w:ascii="微软雅黑" w:hAnsi="微软雅黑" w:eastAsia="微软雅黑"/>
          <w:b/>
          <w:sz w:val="36"/>
          <w:szCs w:val="36"/>
        </w:rPr>
      </w:pPr>
      <w:r>
        <w:rPr>
          <w:rFonts w:hint="eastAsia" w:ascii="微软雅黑" w:hAnsi="微软雅黑" w:eastAsia="微软雅黑"/>
          <w:b/>
          <w:sz w:val="36"/>
          <w:szCs w:val="36"/>
        </w:rPr>
        <w:t>机场公司业务外包项目月（季）度考核标准</w:t>
      </w:r>
    </w:p>
    <w:p>
      <w:pPr>
        <w:keepNext/>
        <w:keepLines/>
        <w:shd w:val="clear" w:color="auto" w:fill="FFFFFF"/>
        <w:spacing w:line="210" w:lineRule="atLeast"/>
        <w:ind w:firstLine="2160" w:firstLineChars="600"/>
        <w:rPr>
          <w:rFonts w:ascii="Tahoma" w:hAnsi="Tahoma" w:cs="Tahoma"/>
          <w:color w:val="333333"/>
          <w:sz w:val="24"/>
          <w:szCs w:val="45"/>
        </w:rPr>
      </w:pPr>
      <w:r>
        <w:rPr>
          <w:rFonts w:ascii="微软雅黑" w:hAnsi="微软雅黑" w:eastAsia="微软雅黑"/>
          <w:sz w:val="36"/>
          <w:szCs w:val="36"/>
        </w:rPr>
        <mc:AlternateContent>
          <mc:Choice Requires="wps">
            <w:drawing>
              <wp:anchor distT="0" distB="0" distL="114300" distR="114300" simplePos="0" relativeHeight="251666432" behindDoc="0" locked="0" layoutInCell="1" allowOverlap="1">
                <wp:simplePos x="0" y="0"/>
                <wp:positionH relativeFrom="column">
                  <wp:posOffset>647065</wp:posOffset>
                </wp:positionH>
                <wp:positionV relativeFrom="paragraph">
                  <wp:posOffset>-36830</wp:posOffset>
                </wp:positionV>
                <wp:extent cx="4086225"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4086225" cy="0"/>
                        </a:xfrm>
                        <a:prstGeom prst="line">
                          <a:avLst/>
                        </a:prstGeom>
                        <a:ln w="19050" cap="flat" cmpd="sng">
                          <a:solidFill>
                            <a:srgbClr val="000000"/>
                          </a:solidFill>
                          <a:prstDash val="solid"/>
                          <a:miter/>
                          <a:headEnd type="none" w="med" len="med"/>
                          <a:tailEnd type="none" w="med" len="med"/>
                        </a:ln>
                        <a:effectLst/>
                      </wps:spPr>
                      <wps:bodyPr/>
                    </wps:wsp>
                  </a:graphicData>
                </a:graphic>
              </wp:anchor>
            </w:drawing>
          </mc:Choice>
          <mc:Fallback>
            <w:pict>
              <v:line id="_x0000_s1026" o:spid="_x0000_s1026" o:spt="20" style="position:absolute;left:0pt;margin-left:50.95pt;margin-top:-2.9pt;height:0pt;width:321.75pt;z-index:251666432;mso-width-relative:page;mso-height-relative:page;" filled="f" stroked="t" coordsize="21600,21600" o:gfxdata="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mTcxu2AAAAAkBAAAPAAAA&#10;AAAAAAEAIAAAACIAAABkcnMvZG93bnJldi54bWxQSwECFAAUAAAACACHTuJAR0vcuNwBAACjAwAA&#10;DgAAAAAAAAABACAAAAAnAQAAZHJzL2Uyb0RvYy54bWxQSwUGAAAAAAYABgBZAQAAdQUAAAAA&#10;">
                <v:fill on="f" focussize="0,0"/>
                <v:stroke weight="1.5pt" color="#000000" joinstyle="miter"/>
                <v:imagedata o:title=""/>
                <o:lock v:ext="edit" aspectratio="f"/>
              </v:line>
            </w:pict>
          </mc:Fallback>
        </mc:AlternateContent>
      </w:r>
      <w:r>
        <w:rPr>
          <w:rFonts w:hint="eastAsia" w:ascii="Tahoma" w:hAnsi="Tahoma" w:cs="Tahoma"/>
          <w:color w:val="333333"/>
          <w:sz w:val="24"/>
          <w:szCs w:val="45"/>
        </w:rPr>
        <w:t>HIA</w:t>
      </w:r>
      <w:r>
        <w:rPr>
          <w:rFonts w:ascii="Tahoma" w:hAnsi="Tahoma" w:cs="Tahoma"/>
          <w:color w:val="333333"/>
          <w:sz w:val="24"/>
          <w:szCs w:val="45"/>
        </w:rPr>
        <w:t xml:space="preserve"> Outsource </w:t>
      </w:r>
      <w:r>
        <w:fldChar w:fldCharType="begin"/>
      </w:r>
      <w:r>
        <w:instrText xml:space="preserve"> HYPERLINK "javascript:;" </w:instrText>
      </w:r>
      <w:r>
        <w:fldChar w:fldCharType="separate"/>
      </w:r>
      <w:r>
        <w:rPr>
          <w:rFonts w:ascii="Tahoma" w:hAnsi="Tahoma" w:cs="Tahoma"/>
          <w:color w:val="333333"/>
          <w:sz w:val="24"/>
          <w:szCs w:val="45"/>
        </w:rPr>
        <w:t>Criteria</w:t>
      </w:r>
      <w:r>
        <w:rPr>
          <w:rFonts w:ascii="Tahoma" w:hAnsi="Tahoma" w:cs="Tahoma"/>
          <w:color w:val="333333"/>
          <w:sz w:val="24"/>
          <w:szCs w:val="45"/>
        </w:rPr>
        <w:fldChar w:fldCharType="end"/>
      </w:r>
      <w:r>
        <w:rPr>
          <w:rFonts w:ascii="Tahoma" w:hAnsi="Tahoma" w:cs="Tahoma"/>
          <w:color w:val="333333"/>
          <w:sz w:val="24"/>
          <w:szCs w:val="45"/>
        </w:rPr>
        <w:t> </w:t>
      </w:r>
      <w:r>
        <w:fldChar w:fldCharType="begin"/>
      </w:r>
      <w:r>
        <w:instrText xml:space="preserve"> HYPERLINK "javascript:;" </w:instrText>
      </w:r>
      <w:r>
        <w:fldChar w:fldCharType="separate"/>
      </w:r>
      <w:r>
        <w:rPr>
          <w:rFonts w:ascii="Tahoma" w:hAnsi="Tahoma" w:cs="Tahoma"/>
          <w:color w:val="333333"/>
          <w:sz w:val="24"/>
          <w:szCs w:val="45"/>
        </w:rPr>
        <w:t>Of</w:t>
      </w:r>
      <w:r>
        <w:rPr>
          <w:rFonts w:ascii="Tahoma" w:hAnsi="Tahoma" w:cs="Tahoma"/>
          <w:color w:val="333333"/>
          <w:sz w:val="24"/>
          <w:szCs w:val="45"/>
        </w:rPr>
        <w:fldChar w:fldCharType="end"/>
      </w:r>
      <w:r>
        <w:rPr>
          <w:rFonts w:ascii="Tahoma" w:hAnsi="Tahoma" w:cs="Tahoma"/>
          <w:color w:val="333333"/>
          <w:sz w:val="24"/>
          <w:szCs w:val="45"/>
        </w:rPr>
        <w:t> </w:t>
      </w:r>
      <w:r>
        <w:fldChar w:fldCharType="begin"/>
      </w:r>
      <w:r>
        <w:instrText xml:space="preserve"> HYPERLINK "javascript:;" </w:instrText>
      </w:r>
      <w:r>
        <w:fldChar w:fldCharType="separate"/>
      </w:r>
      <w:r>
        <w:rPr>
          <w:rFonts w:ascii="Tahoma" w:hAnsi="Tahoma" w:cs="Tahoma"/>
          <w:color w:val="333333"/>
          <w:sz w:val="24"/>
          <w:szCs w:val="45"/>
        </w:rPr>
        <w:t>Assessment</w:t>
      </w:r>
      <w:r>
        <w:rPr>
          <w:rFonts w:ascii="Tahoma" w:hAnsi="Tahoma" w:cs="Tahoma"/>
          <w:color w:val="333333"/>
          <w:sz w:val="24"/>
          <w:szCs w:val="45"/>
        </w:rPr>
        <w:fldChar w:fldCharType="end"/>
      </w:r>
      <w:r>
        <w:rPr>
          <w:rFonts w:ascii="Tahoma" w:hAnsi="Tahoma" w:cs="Tahoma"/>
          <w:color w:val="333333"/>
          <w:sz w:val="24"/>
          <w:szCs w:val="45"/>
        </w:rPr>
        <w:t>.L1</w:t>
      </w:r>
    </w:p>
    <w:p>
      <w:pPr>
        <w:keepNext/>
        <w:keepLines/>
        <w:shd w:val="clear" w:color="auto" w:fill="FFFFFF"/>
        <w:spacing w:line="210" w:lineRule="atLeast"/>
        <w:rPr>
          <w:rFonts w:ascii="Tahoma" w:hAnsi="Tahoma" w:cs="Tahoma"/>
          <w:color w:val="333333"/>
          <w:sz w:val="24"/>
          <w:szCs w:val="45"/>
        </w:rPr>
      </w:pPr>
      <w:r>
        <w:rPr>
          <w:rFonts w:hint="eastAsia" w:ascii="Tahoma" w:hAnsi="Tahoma" w:cs="Tahoma"/>
          <w:color w:val="333333"/>
          <w:sz w:val="24"/>
          <w:szCs w:val="45"/>
        </w:rPr>
        <w:t xml:space="preserve">◆劳务类项目： </w:t>
      </w:r>
    </w:p>
    <w:tbl>
      <w:tblPr>
        <w:tblStyle w:val="89"/>
        <w:tblW w:w="9061" w:type="dxa"/>
        <w:jc w:val="center"/>
        <w:tblInd w:w="0"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3249"/>
        <w:gridCol w:w="280"/>
        <w:gridCol w:w="5532"/>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529" w:type="dxa"/>
            <w:gridSpan w:val="2"/>
            <w:shd w:val="clear" w:color="auto" w:fill="B4C6E7"/>
          </w:tcPr>
          <w:p>
            <w:pPr>
              <w:spacing w:line="259" w:lineRule="auto"/>
              <w:rPr>
                <w:rFonts w:ascii="宋体" w:hAnsi="宋体"/>
                <w:b/>
                <w:color w:val="000000"/>
              </w:rPr>
            </w:pPr>
            <w:r>
              <w:rPr>
                <w:rFonts w:hint="eastAsia" w:ascii="宋体" w:hAnsi="宋体"/>
                <w:b/>
                <w:color w:val="000000"/>
              </w:rPr>
              <w:t>考核内容</w:t>
            </w:r>
          </w:p>
        </w:tc>
        <w:tc>
          <w:tcPr>
            <w:tcW w:w="5532" w:type="dxa"/>
            <w:shd w:val="clear" w:color="auto" w:fill="B4C6E7"/>
          </w:tcPr>
          <w:p>
            <w:pPr>
              <w:spacing w:line="259" w:lineRule="auto"/>
              <w:ind w:right="45"/>
              <w:rPr>
                <w:rFonts w:ascii="宋体" w:hAnsi="宋体" w:cs="微软雅黑"/>
                <w:b/>
                <w:color w:val="000000"/>
              </w:rPr>
            </w:pPr>
            <w:r>
              <w:rPr>
                <w:rFonts w:hint="eastAsia" w:ascii="宋体" w:hAnsi="宋体" w:cs="微软雅黑"/>
                <w:b/>
                <w:color w:val="000000"/>
              </w:rPr>
              <w:t>扣分标准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529" w:type="dxa"/>
            <w:gridSpan w:val="2"/>
            <w:shd w:val="clear" w:color="auto" w:fill="D9E2F3"/>
          </w:tcPr>
          <w:p>
            <w:pPr>
              <w:spacing w:line="259" w:lineRule="auto"/>
              <w:ind w:right="30"/>
              <w:rPr>
                <w:rFonts w:ascii="宋体" w:hAnsi="宋体" w:cs="微软雅黑"/>
                <w:b/>
                <w:color w:val="000000"/>
              </w:rPr>
            </w:pPr>
            <w:r>
              <w:rPr>
                <w:rFonts w:hint="eastAsia" w:ascii="宋体" w:hAnsi="宋体" w:cs="微软雅黑"/>
                <w:b/>
                <w:color w:val="000000"/>
              </w:rPr>
              <w:t>否定指标</w:t>
            </w:r>
          </w:p>
        </w:tc>
        <w:tc>
          <w:tcPr>
            <w:tcW w:w="5532" w:type="dxa"/>
            <w:vMerge w:val="restart"/>
            <w:shd w:val="clear" w:color="auto" w:fill="auto"/>
          </w:tcPr>
          <w:p>
            <w:pPr>
              <w:spacing w:line="259" w:lineRule="auto"/>
              <w:rPr>
                <w:rFonts w:ascii="宋体" w:hAnsi="宋体"/>
                <w:color w:val="000000"/>
              </w:rPr>
            </w:pPr>
            <w:r>
              <w:rPr>
                <w:rFonts w:hint="eastAsia" w:ascii="宋体" w:hAnsi="宋体"/>
                <w:color w:val="000000"/>
              </w:rPr>
              <w:t>发生因乙方原因造成的破坏航空器和劫机、炸机等空防安全事故或发生重大消防事故，造成人员死亡、重伤或财产损失大于10万元。发生因维护保养原因造成的系统不正常事件，产生国际国内恶劣影响及触犯国家和地方制定的各种法律、法规。</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529" w:type="dxa"/>
            <w:gridSpan w:val="2"/>
            <w:shd w:val="clear" w:color="auto" w:fill="auto"/>
          </w:tcPr>
          <w:p>
            <w:pPr>
              <w:spacing w:line="259" w:lineRule="auto"/>
              <w:jc w:val="left"/>
              <w:rPr>
                <w:rFonts w:ascii="宋体" w:hAnsi="宋体"/>
                <w:color w:val="000000"/>
              </w:rPr>
            </w:pPr>
            <w:r>
              <w:rPr>
                <w:rFonts w:hint="eastAsia" w:ascii="宋体" w:hAnsi="宋体"/>
                <w:color w:val="000000"/>
              </w:rPr>
              <w:t>责任原因造成的恐怖事件、生产安全事故、消防安全事故等重大事件，给甲方造成损失</w:t>
            </w:r>
          </w:p>
        </w:tc>
        <w:tc>
          <w:tcPr>
            <w:tcW w:w="5532" w:type="dxa"/>
            <w:vMerge w:val="continue"/>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529" w:type="dxa"/>
            <w:gridSpan w:val="2"/>
            <w:shd w:val="clear" w:color="auto" w:fill="auto"/>
          </w:tcPr>
          <w:p>
            <w:pPr>
              <w:spacing w:line="259" w:lineRule="auto"/>
              <w:jc w:val="left"/>
              <w:rPr>
                <w:rFonts w:ascii="宋体" w:hAnsi="宋体"/>
                <w:color w:val="000000"/>
              </w:rPr>
            </w:pPr>
            <w:r>
              <w:rPr>
                <w:rFonts w:hint="eastAsia" w:ascii="宋体" w:hAnsi="宋体"/>
                <w:color w:val="000000"/>
              </w:rPr>
              <w:t>责任原因造成各类不安全事件，事故症候等影响机场形象及造成甲方损失</w:t>
            </w:r>
          </w:p>
        </w:tc>
        <w:tc>
          <w:tcPr>
            <w:tcW w:w="5532" w:type="dxa"/>
            <w:vMerge w:val="continue"/>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529" w:type="dxa"/>
            <w:gridSpan w:val="2"/>
            <w:shd w:val="clear" w:color="auto" w:fill="auto"/>
          </w:tcPr>
          <w:p>
            <w:pPr>
              <w:spacing w:line="259" w:lineRule="auto"/>
              <w:jc w:val="left"/>
              <w:rPr>
                <w:rFonts w:ascii="宋体" w:hAnsi="宋体"/>
                <w:color w:val="000000"/>
              </w:rPr>
            </w:pPr>
            <w:r>
              <w:rPr>
                <w:rFonts w:hint="eastAsia" w:ascii="宋体" w:hAnsi="宋体"/>
                <w:color w:val="000000"/>
              </w:rPr>
              <w:t>恶劣事件</w:t>
            </w:r>
          </w:p>
        </w:tc>
        <w:tc>
          <w:tcPr>
            <w:tcW w:w="5532" w:type="dxa"/>
            <w:vMerge w:val="continue"/>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529" w:type="dxa"/>
            <w:gridSpan w:val="2"/>
            <w:shd w:val="clear" w:color="auto" w:fill="auto"/>
          </w:tcPr>
          <w:p>
            <w:pPr>
              <w:spacing w:line="259" w:lineRule="auto"/>
              <w:jc w:val="left"/>
              <w:rPr>
                <w:rFonts w:ascii="宋体" w:hAnsi="宋体"/>
                <w:color w:val="000000"/>
              </w:rPr>
            </w:pPr>
            <w:r>
              <w:rPr>
                <w:rFonts w:hint="eastAsia" w:ascii="宋体" w:hAnsi="宋体"/>
                <w:color w:val="000000"/>
              </w:rPr>
              <w:t>公司行为被查处的违法违纪事件</w:t>
            </w:r>
          </w:p>
        </w:tc>
        <w:tc>
          <w:tcPr>
            <w:tcW w:w="5532" w:type="dxa"/>
            <w:vMerge w:val="continue"/>
            <w:shd w:val="clear" w:color="auto" w:fill="auto"/>
          </w:tcPr>
          <w:p>
            <w:pPr>
              <w:spacing w:line="259" w:lineRule="auto"/>
              <w:rPr>
                <w:rFonts w:ascii="宋体" w:hAnsi="宋体"/>
                <w:color w:val="000000"/>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061" w:type="dxa"/>
            <w:gridSpan w:val="3"/>
            <w:shd w:val="clear" w:color="auto" w:fill="D9E2F3"/>
          </w:tcPr>
          <w:p>
            <w:pPr>
              <w:spacing w:line="259" w:lineRule="auto"/>
              <w:ind w:right="45"/>
              <w:rPr>
                <w:rFonts w:ascii="宋体" w:hAnsi="宋体" w:cs="微软雅黑"/>
                <w:b/>
                <w:color w:val="000000"/>
              </w:rPr>
            </w:pPr>
            <w:r>
              <w:rPr>
                <w:rFonts w:hint="eastAsia" w:ascii="宋体" w:hAnsi="宋体" w:cs="微软雅黑"/>
                <w:b/>
                <w:color w:val="000000"/>
              </w:rPr>
              <w:t>人（23）</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shd w:val="clear" w:color="auto" w:fill="auto"/>
            <w:vAlign w:val="center"/>
          </w:tcPr>
          <w:p>
            <w:pPr>
              <w:spacing w:line="259" w:lineRule="auto"/>
              <w:rPr>
                <w:rFonts w:ascii="宋体" w:hAnsi="宋体"/>
                <w:color w:val="000000"/>
              </w:rPr>
            </w:pPr>
            <w:r>
              <w:rPr>
                <w:rFonts w:hint="eastAsia" w:ascii="宋体" w:hAnsi="宋体"/>
                <w:color w:val="000000"/>
              </w:rPr>
              <w:t>技术能力与资质</w:t>
            </w:r>
            <w:r>
              <w:rPr>
                <w:rFonts w:hint="eastAsia" w:ascii="宋体" w:hAnsi="宋体" w:cs="微软雅黑"/>
                <w:color w:val="000000"/>
              </w:rPr>
              <w:t>（4）</w:t>
            </w:r>
          </w:p>
        </w:tc>
        <w:tc>
          <w:tcPr>
            <w:tcW w:w="5812" w:type="dxa"/>
            <w:gridSpan w:val="2"/>
            <w:shd w:val="clear" w:color="auto" w:fill="auto"/>
          </w:tcPr>
          <w:p>
            <w:pPr>
              <w:spacing w:line="259" w:lineRule="auto"/>
              <w:ind w:left="2"/>
              <w:rPr>
                <w:rFonts w:ascii="宋体" w:hAnsi="宋体"/>
                <w:color w:val="000000"/>
              </w:rPr>
            </w:pPr>
            <w:r>
              <w:rPr>
                <w:rFonts w:hint="eastAsia" w:ascii="宋体" w:hAnsi="宋体"/>
                <w:color w:val="000000"/>
              </w:rPr>
              <w:t>经检查发现技术能力或资质（证书</w:t>
            </w:r>
            <w:r>
              <w:rPr>
                <w:rFonts w:ascii="宋体" w:hAnsi="宋体"/>
                <w:color w:val="000000"/>
              </w:rPr>
              <w:t>）</w:t>
            </w:r>
            <w:r>
              <w:rPr>
                <w:rFonts w:hint="eastAsia" w:ascii="宋体" w:hAnsi="宋体"/>
                <w:color w:val="000000"/>
              </w:rPr>
              <w:t>未达到要求或</w:t>
            </w:r>
            <w:r>
              <w:rPr>
                <w:rFonts w:ascii="宋体" w:hAnsi="宋体"/>
                <w:color w:val="000000"/>
              </w:rPr>
              <w:t>过期</w:t>
            </w:r>
            <w:r>
              <w:rPr>
                <w:rFonts w:hint="eastAsia" w:ascii="宋体" w:hAnsi="宋体"/>
                <w:color w:val="000000"/>
              </w:rPr>
              <w:t>，第一次发生扣2分，整改后仍未达到要求则得0分。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0" w:hRule="atLeast"/>
          <w:jc w:val="center"/>
        </w:trPr>
        <w:tc>
          <w:tcPr>
            <w:tcW w:w="3249" w:type="dxa"/>
            <w:shd w:val="clear" w:color="auto" w:fill="auto"/>
            <w:vAlign w:val="center"/>
          </w:tcPr>
          <w:p>
            <w:pPr>
              <w:widowControl/>
              <w:spacing w:line="276" w:lineRule="auto"/>
              <w:rPr>
                <w:rFonts w:ascii="宋体" w:hAnsi="宋体"/>
                <w:color w:val="000000"/>
              </w:rPr>
            </w:pPr>
            <w:r>
              <w:rPr>
                <w:rFonts w:hint="eastAsia" w:ascii="宋体" w:hAnsi="宋体"/>
                <w:color w:val="000000"/>
              </w:rPr>
              <w:t>人员培训及上岗要求</w:t>
            </w:r>
            <w:r>
              <w:rPr>
                <w:rFonts w:hint="eastAsia" w:ascii="宋体" w:hAnsi="宋体" w:cs="微软雅黑"/>
                <w:color w:val="000000"/>
              </w:rPr>
              <w:t>（4）</w:t>
            </w:r>
          </w:p>
        </w:tc>
        <w:tc>
          <w:tcPr>
            <w:tcW w:w="5812" w:type="dxa"/>
            <w:gridSpan w:val="2"/>
            <w:shd w:val="clear" w:color="auto" w:fill="auto"/>
          </w:tcPr>
          <w:p>
            <w:pPr>
              <w:spacing w:line="259" w:lineRule="auto"/>
              <w:rPr>
                <w:rFonts w:ascii="宋体" w:hAnsi="宋体"/>
                <w:color w:val="000000"/>
              </w:rPr>
            </w:pPr>
            <w:r>
              <w:rPr>
                <w:rFonts w:hint="eastAsia" w:ascii="宋体" w:hAnsi="宋体"/>
                <w:color w:val="000000"/>
              </w:rPr>
              <w:t>乙方人员应在人员上岗前进行岗前培训，符合甲方要求后，方可上岗。发现未按要求培训上岗的，每次扣1分。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shd w:val="clear" w:color="auto" w:fill="auto"/>
            <w:vAlign w:val="center"/>
          </w:tcPr>
          <w:p>
            <w:pPr>
              <w:spacing w:line="252" w:lineRule="auto"/>
              <w:rPr>
                <w:rFonts w:ascii="宋体" w:hAnsi="宋体"/>
                <w:color w:val="000000"/>
              </w:rPr>
            </w:pPr>
            <w:r>
              <w:rPr>
                <w:rFonts w:hint="eastAsia" w:ascii="宋体" w:hAnsi="宋体"/>
                <w:color w:val="000000"/>
              </w:rPr>
              <w:t>人员劳务关系</w:t>
            </w:r>
            <w:r>
              <w:rPr>
                <w:rFonts w:hint="eastAsia" w:ascii="宋体" w:hAnsi="宋体" w:cs="微软雅黑"/>
                <w:color w:val="000000"/>
              </w:rPr>
              <w:t>（4）</w:t>
            </w:r>
          </w:p>
        </w:tc>
        <w:tc>
          <w:tcPr>
            <w:tcW w:w="5812" w:type="dxa"/>
            <w:gridSpan w:val="2"/>
            <w:shd w:val="clear" w:color="auto" w:fill="auto"/>
          </w:tcPr>
          <w:p>
            <w:pPr>
              <w:spacing w:line="259" w:lineRule="auto"/>
              <w:ind w:left="2"/>
              <w:rPr>
                <w:rFonts w:ascii="宋体" w:hAnsi="宋体"/>
                <w:color w:val="000000"/>
              </w:rPr>
            </w:pPr>
            <w:r>
              <w:rPr>
                <w:rFonts w:hint="eastAsia" w:ascii="宋体" w:hAnsi="宋体"/>
                <w:color w:val="000000"/>
              </w:rPr>
              <w:t>工作人员必须与外包商签订劳动合同，履行国家相关法律法规的义务</w:t>
            </w:r>
            <w:r>
              <w:rPr>
                <w:rFonts w:ascii="宋体" w:hAnsi="宋体"/>
                <w:color w:val="000000"/>
              </w:rPr>
              <w:t>，</w:t>
            </w:r>
            <w:r>
              <w:rPr>
                <w:rFonts w:hint="eastAsia" w:ascii="宋体" w:hAnsi="宋体"/>
                <w:color w:val="000000"/>
              </w:rPr>
              <w:t>经检查发现不符合要求的扣4分，并要求乙方立即整改。</w:t>
            </w:r>
            <w:r>
              <w:rPr>
                <w:rFonts w:ascii="宋体" w:hAnsi="宋体"/>
                <w:color w:val="000000"/>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shd w:val="clear" w:color="auto" w:fill="auto"/>
            <w:vAlign w:val="center"/>
          </w:tcPr>
          <w:p>
            <w:pPr>
              <w:spacing w:line="259" w:lineRule="auto"/>
              <w:rPr>
                <w:rFonts w:ascii="宋体" w:hAnsi="宋体"/>
                <w:color w:val="000000"/>
              </w:rPr>
            </w:pPr>
            <w:r>
              <w:rPr>
                <w:rFonts w:hint="eastAsia" w:ascii="宋体" w:hAnsi="宋体"/>
                <w:color w:val="000000"/>
              </w:rPr>
              <w:t>薪酬发放</w:t>
            </w:r>
            <w:r>
              <w:rPr>
                <w:rFonts w:hint="eastAsia" w:ascii="宋体" w:hAnsi="宋体" w:cs="微软雅黑"/>
                <w:color w:val="000000"/>
              </w:rPr>
              <w:t>（4）</w:t>
            </w:r>
          </w:p>
        </w:tc>
        <w:tc>
          <w:tcPr>
            <w:tcW w:w="5812" w:type="dxa"/>
            <w:gridSpan w:val="2"/>
            <w:shd w:val="clear" w:color="auto" w:fill="auto"/>
          </w:tcPr>
          <w:p>
            <w:pPr>
              <w:spacing w:line="259" w:lineRule="auto"/>
              <w:rPr>
                <w:rFonts w:ascii="宋体" w:hAnsi="宋体"/>
                <w:color w:val="000000"/>
              </w:rPr>
            </w:pPr>
            <w:r>
              <w:rPr>
                <w:rFonts w:hint="eastAsia" w:ascii="宋体" w:hAnsi="宋体"/>
                <w:color w:val="000000"/>
              </w:rPr>
              <w:t>发生乙方不按投标</w:t>
            </w:r>
            <w:r>
              <w:rPr>
                <w:rFonts w:ascii="宋体" w:hAnsi="宋体"/>
                <w:color w:val="000000"/>
              </w:rPr>
              <w:t>承诺发放工资薪酬</w:t>
            </w:r>
            <w:r>
              <w:rPr>
                <w:rFonts w:hint="eastAsia" w:ascii="宋体" w:hAnsi="宋体"/>
                <w:color w:val="000000"/>
              </w:rPr>
              <w:t>的事件，每次扣2分，造成工作影响且不及时整改的扣4分。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shd w:val="clear" w:color="auto" w:fill="auto"/>
            <w:vAlign w:val="center"/>
          </w:tcPr>
          <w:p>
            <w:pPr>
              <w:spacing w:line="259" w:lineRule="auto"/>
              <w:rPr>
                <w:rFonts w:ascii="宋体" w:hAnsi="宋体"/>
                <w:color w:val="000000"/>
              </w:rPr>
            </w:pPr>
            <w:r>
              <w:rPr>
                <w:rFonts w:hint="eastAsia" w:ascii="宋体" w:hAnsi="宋体"/>
                <w:color w:val="000000"/>
              </w:rPr>
              <w:t>员工的遵纪守法情况</w:t>
            </w:r>
            <w:r>
              <w:rPr>
                <w:rFonts w:hint="eastAsia" w:ascii="宋体" w:hAnsi="宋体" w:cs="微软雅黑"/>
                <w:color w:val="000000"/>
              </w:rPr>
              <w:t>（4）</w:t>
            </w:r>
          </w:p>
        </w:tc>
        <w:tc>
          <w:tcPr>
            <w:tcW w:w="5812" w:type="dxa"/>
            <w:gridSpan w:val="2"/>
            <w:shd w:val="clear" w:color="auto" w:fill="auto"/>
          </w:tcPr>
          <w:p>
            <w:pPr>
              <w:spacing w:line="259" w:lineRule="auto"/>
              <w:rPr>
                <w:rFonts w:ascii="宋体" w:hAnsi="宋体"/>
                <w:color w:val="000000"/>
              </w:rPr>
            </w:pPr>
            <w:r>
              <w:rPr>
                <w:rFonts w:hint="eastAsia" w:ascii="宋体" w:hAnsi="宋体"/>
                <w:color w:val="000000"/>
              </w:rPr>
              <w:t>乙方工作人员应保持廉洁，遵守基本的道德准则，法律法规和机场相关规章制度，如发生违规行为，一次扣4分，并要求乙方对相关人员进行处罚。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shd w:val="clear" w:color="auto" w:fill="auto"/>
            <w:vAlign w:val="center"/>
          </w:tcPr>
          <w:p>
            <w:pPr>
              <w:spacing w:line="259" w:lineRule="auto"/>
              <w:rPr>
                <w:rFonts w:ascii="宋体" w:hAnsi="宋体"/>
                <w:color w:val="000000"/>
              </w:rPr>
            </w:pPr>
            <w:r>
              <w:rPr>
                <w:rFonts w:hint="eastAsia" w:ascii="宋体" w:hAnsi="宋体"/>
                <w:color w:val="000000"/>
              </w:rPr>
              <w:t>企业文化认同及机场主人翁意识</w:t>
            </w:r>
            <w:r>
              <w:rPr>
                <w:rFonts w:hint="eastAsia" w:ascii="宋体" w:hAnsi="宋体" w:cs="微软雅黑"/>
                <w:color w:val="000000"/>
              </w:rPr>
              <w:t>（3）</w:t>
            </w:r>
          </w:p>
        </w:tc>
        <w:tc>
          <w:tcPr>
            <w:tcW w:w="5812" w:type="dxa"/>
            <w:gridSpan w:val="2"/>
            <w:shd w:val="clear" w:color="auto" w:fill="auto"/>
          </w:tcPr>
          <w:p>
            <w:pPr>
              <w:spacing w:line="259" w:lineRule="auto"/>
              <w:rPr>
                <w:rFonts w:ascii="宋体" w:hAnsi="宋体"/>
                <w:color w:val="000000"/>
              </w:rPr>
            </w:pPr>
            <w:r>
              <w:rPr>
                <w:rFonts w:hint="eastAsia" w:ascii="宋体" w:hAnsi="宋体"/>
                <w:color w:val="000000"/>
              </w:rPr>
              <w:t>要求乙方认同甲方的企业文化和其他公司相关要求得4分，监管人员视实际情况给分扣分。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507" w:hRule="atLeast"/>
          <w:jc w:val="center"/>
        </w:trPr>
        <w:tc>
          <w:tcPr>
            <w:tcW w:w="9061" w:type="dxa"/>
            <w:gridSpan w:val="3"/>
            <w:shd w:val="clear" w:color="auto" w:fill="D9E2F3"/>
          </w:tcPr>
          <w:p>
            <w:pPr>
              <w:spacing w:line="259" w:lineRule="auto"/>
              <w:rPr>
                <w:rFonts w:ascii="宋体" w:hAnsi="宋体" w:cs="微软雅黑"/>
                <w:b/>
                <w:color w:val="000000"/>
              </w:rPr>
            </w:pPr>
            <w:r>
              <w:rPr>
                <w:rFonts w:hint="eastAsia" w:ascii="宋体" w:hAnsi="宋体" w:cs="微软雅黑"/>
                <w:b/>
                <w:color w:val="000000"/>
              </w:rPr>
              <w:t>质量(35</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shd w:val="clear" w:color="auto" w:fill="auto"/>
            <w:vAlign w:val="center"/>
          </w:tcPr>
          <w:p>
            <w:pPr>
              <w:spacing w:line="259" w:lineRule="auto"/>
              <w:rPr>
                <w:rFonts w:ascii="宋体" w:hAnsi="宋体"/>
                <w:color w:val="000000"/>
              </w:rPr>
            </w:pPr>
            <w:r>
              <w:rPr>
                <w:rFonts w:hint="eastAsia" w:ascii="宋体" w:hAnsi="宋体"/>
                <w:color w:val="000000"/>
              </w:rPr>
              <w:t>人员形象及服务态度</w:t>
            </w:r>
            <w:r>
              <w:rPr>
                <w:rFonts w:hint="eastAsia" w:ascii="宋体" w:hAnsi="宋体" w:cs="微软雅黑"/>
                <w:color w:val="000000"/>
              </w:rPr>
              <w:t>（5）</w:t>
            </w:r>
          </w:p>
        </w:tc>
        <w:tc>
          <w:tcPr>
            <w:tcW w:w="5812" w:type="dxa"/>
            <w:gridSpan w:val="2"/>
            <w:shd w:val="clear" w:color="auto" w:fill="auto"/>
          </w:tcPr>
          <w:p>
            <w:pPr>
              <w:spacing w:line="259" w:lineRule="auto"/>
              <w:rPr>
                <w:rFonts w:ascii="宋体" w:hAnsi="宋体"/>
                <w:color w:val="000000"/>
              </w:rPr>
            </w:pPr>
            <w:r>
              <w:rPr>
                <w:rFonts w:hint="eastAsia" w:ascii="宋体" w:hAnsi="宋体"/>
                <w:color w:val="000000"/>
              </w:rPr>
              <w:t>经检查发现乙方人员着装，服务态度及用语不符合甲方要求的，第一次发生扣1分，第二次发生扣2分，以此类推。</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shd w:val="clear" w:color="auto" w:fill="auto"/>
            <w:vAlign w:val="center"/>
          </w:tcPr>
          <w:p>
            <w:pPr>
              <w:spacing w:line="259" w:lineRule="auto"/>
              <w:rPr>
                <w:rFonts w:ascii="宋体" w:hAnsi="宋体"/>
                <w:color w:val="000000"/>
              </w:rPr>
            </w:pPr>
            <w:r>
              <w:rPr>
                <w:rFonts w:hint="eastAsia" w:ascii="宋体" w:hAnsi="宋体"/>
                <w:color w:val="000000"/>
              </w:rPr>
              <w:t>服务质量</w:t>
            </w:r>
            <w:r>
              <w:rPr>
                <w:rFonts w:hint="eastAsia" w:ascii="宋体" w:hAnsi="宋体" w:cs="微软雅黑"/>
                <w:color w:val="000000"/>
              </w:rPr>
              <w:t>（10）</w:t>
            </w:r>
          </w:p>
        </w:tc>
        <w:tc>
          <w:tcPr>
            <w:tcW w:w="5812" w:type="dxa"/>
            <w:gridSpan w:val="2"/>
            <w:shd w:val="clear" w:color="auto" w:fill="auto"/>
          </w:tcPr>
          <w:p>
            <w:pPr>
              <w:spacing w:line="259" w:lineRule="auto"/>
              <w:rPr>
                <w:rFonts w:ascii="宋体" w:hAnsi="宋体"/>
                <w:color w:val="000000"/>
              </w:rPr>
            </w:pPr>
            <w:r>
              <w:rPr>
                <w:rFonts w:hint="eastAsia" w:ascii="宋体" w:hAnsi="宋体"/>
                <w:color w:val="000000"/>
              </w:rPr>
              <w:t>在考核期间，服务标准未达到合约约定的每次扣1分。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shd w:val="clear" w:color="auto" w:fill="auto"/>
            <w:vAlign w:val="center"/>
          </w:tcPr>
          <w:p>
            <w:pPr>
              <w:spacing w:line="259" w:lineRule="auto"/>
              <w:rPr>
                <w:rFonts w:ascii="宋体" w:hAnsi="宋体"/>
                <w:color w:val="000000"/>
              </w:rPr>
            </w:pPr>
            <w:r>
              <w:rPr>
                <w:rFonts w:hint="eastAsia" w:ascii="宋体" w:hAnsi="宋体" w:cs="微软雅黑"/>
                <w:color w:val="000000"/>
              </w:rPr>
              <w:t>投诉情况（5）</w:t>
            </w:r>
          </w:p>
        </w:tc>
        <w:tc>
          <w:tcPr>
            <w:tcW w:w="5812" w:type="dxa"/>
            <w:gridSpan w:val="2"/>
            <w:shd w:val="clear" w:color="auto" w:fill="auto"/>
          </w:tcPr>
          <w:p>
            <w:pPr>
              <w:spacing w:line="259" w:lineRule="auto"/>
              <w:rPr>
                <w:rFonts w:ascii="宋体" w:hAnsi="宋体"/>
                <w:color w:val="000000"/>
              </w:rPr>
            </w:pPr>
            <w:r>
              <w:rPr>
                <w:rFonts w:ascii="宋体" w:hAnsi="宋体"/>
                <w:color w:val="000000"/>
              </w:rPr>
              <w:t>日常管理中出现有效投诉的</w:t>
            </w:r>
            <w:r>
              <w:rPr>
                <w:rFonts w:hint="eastAsia" w:ascii="宋体" w:hAnsi="宋体"/>
                <w:color w:val="000000"/>
              </w:rPr>
              <w:t>，第一次发生扣1分，第二次发生扣2分，第三次发生则得0分。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shd w:val="clear" w:color="auto" w:fill="auto"/>
            <w:vAlign w:val="center"/>
          </w:tcPr>
          <w:p>
            <w:pPr>
              <w:spacing w:line="259" w:lineRule="auto"/>
              <w:rPr>
                <w:rFonts w:ascii="宋体" w:hAnsi="宋体"/>
                <w:color w:val="000000"/>
              </w:rPr>
            </w:pPr>
            <w:r>
              <w:rPr>
                <w:rFonts w:hint="eastAsia" w:ascii="宋体" w:hAnsi="宋体" w:cs="微软雅黑"/>
                <w:color w:val="000000"/>
              </w:rPr>
              <w:t>现场发现问题的整改情况（5）</w:t>
            </w:r>
          </w:p>
        </w:tc>
        <w:tc>
          <w:tcPr>
            <w:tcW w:w="5812" w:type="dxa"/>
            <w:gridSpan w:val="2"/>
            <w:shd w:val="clear" w:color="auto" w:fill="auto"/>
          </w:tcPr>
          <w:p>
            <w:pPr>
              <w:spacing w:line="259" w:lineRule="auto"/>
              <w:rPr>
                <w:rFonts w:ascii="宋体" w:hAnsi="宋体"/>
                <w:color w:val="000000"/>
              </w:rPr>
            </w:pPr>
            <w:r>
              <w:rPr>
                <w:rFonts w:hint="eastAsia" w:ascii="宋体" w:hAnsi="宋体"/>
                <w:color w:val="000000"/>
              </w:rPr>
              <w:t>日常检查中发现的问题未及时整改或整改后仍重复出现的。每次扣1分，重复出现的，每次扣2分。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8" w:hRule="atLeast"/>
          <w:jc w:val="center"/>
        </w:trPr>
        <w:tc>
          <w:tcPr>
            <w:tcW w:w="3249" w:type="dxa"/>
            <w:shd w:val="clear" w:color="auto" w:fill="auto"/>
            <w:vAlign w:val="center"/>
          </w:tcPr>
          <w:p>
            <w:pPr>
              <w:spacing w:line="259" w:lineRule="auto"/>
              <w:rPr>
                <w:rFonts w:ascii="宋体" w:hAnsi="宋体"/>
                <w:color w:val="000000"/>
              </w:rPr>
            </w:pPr>
            <w:r>
              <w:rPr>
                <w:rFonts w:hint="eastAsia" w:ascii="宋体" w:hAnsi="宋体"/>
                <w:color w:val="000000"/>
              </w:rPr>
              <w:t>人员现场在岗情况</w:t>
            </w:r>
            <w:r>
              <w:rPr>
                <w:rFonts w:hint="eastAsia" w:ascii="宋体" w:hAnsi="宋体" w:cs="微软雅黑"/>
                <w:color w:val="000000"/>
              </w:rPr>
              <w:t>（5）</w:t>
            </w:r>
          </w:p>
        </w:tc>
        <w:tc>
          <w:tcPr>
            <w:tcW w:w="5812" w:type="dxa"/>
            <w:gridSpan w:val="2"/>
            <w:shd w:val="clear" w:color="auto" w:fill="auto"/>
          </w:tcPr>
          <w:p>
            <w:pPr>
              <w:spacing w:line="259" w:lineRule="auto"/>
              <w:ind w:right="45"/>
              <w:rPr>
                <w:rFonts w:ascii="宋体" w:hAnsi="宋体" w:cs="微软雅黑"/>
                <w:color w:val="000000"/>
              </w:rPr>
            </w:pPr>
            <w:r>
              <w:rPr>
                <w:rFonts w:hint="eastAsia" w:ascii="宋体" w:hAnsi="宋体"/>
                <w:color w:val="000000"/>
              </w:rPr>
              <w:t>经检查发现</w:t>
            </w:r>
            <w:r>
              <w:rPr>
                <w:rFonts w:hint="eastAsia" w:ascii="宋体" w:hAnsi="宋体" w:cs="微软雅黑"/>
                <w:color w:val="000000"/>
              </w:rPr>
              <w:t>乙方人员有脱岗、睡岗、玩手机等情况的，第一次发生扣1分，第二次发生扣2分，第三次发生则得0分。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20" w:hRule="atLeast"/>
          <w:jc w:val="center"/>
        </w:trPr>
        <w:tc>
          <w:tcPr>
            <w:tcW w:w="3249" w:type="dxa"/>
            <w:shd w:val="clear" w:color="auto" w:fill="auto"/>
            <w:vAlign w:val="center"/>
          </w:tcPr>
          <w:p>
            <w:pPr>
              <w:spacing w:line="259" w:lineRule="auto"/>
              <w:rPr>
                <w:rFonts w:ascii="宋体" w:hAnsi="宋体"/>
                <w:color w:val="000000"/>
              </w:rPr>
            </w:pPr>
            <w:r>
              <w:rPr>
                <w:rFonts w:hint="eastAsia" w:ascii="宋体" w:hAnsi="宋体"/>
                <w:color w:val="000000"/>
              </w:rPr>
              <w:t>应急事件处理质量</w:t>
            </w:r>
            <w:r>
              <w:rPr>
                <w:rFonts w:hint="eastAsia" w:ascii="宋体" w:hAnsi="宋体" w:cs="微软雅黑"/>
                <w:color w:val="000000"/>
              </w:rPr>
              <w:t>（5）</w:t>
            </w:r>
          </w:p>
        </w:tc>
        <w:tc>
          <w:tcPr>
            <w:tcW w:w="5812" w:type="dxa"/>
            <w:gridSpan w:val="2"/>
            <w:shd w:val="clear" w:color="auto" w:fill="auto"/>
          </w:tcPr>
          <w:p>
            <w:pPr>
              <w:spacing w:line="259" w:lineRule="auto"/>
              <w:rPr>
                <w:rFonts w:ascii="宋体" w:hAnsi="宋体"/>
                <w:color w:val="000000"/>
              </w:rPr>
            </w:pPr>
            <w:r>
              <w:rPr>
                <w:rFonts w:hint="eastAsia" w:ascii="宋体" w:hAnsi="宋体"/>
                <w:color w:val="000000"/>
              </w:rPr>
              <w:t>经检查发现乙方对应急事件处理未达到规定要求的，第一次发生扣2分，第二次得0分。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11" w:hRule="atLeast"/>
          <w:jc w:val="center"/>
        </w:trPr>
        <w:tc>
          <w:tcPr>
            <w:tcW w:w="9061" w:type="dxa"/>
            <w:gridSpan w:val="3"/>
            <w:shd w:val="clear" w:color="auto" w:fill="D9E2F3"/>
          </w:tcPr>
          <w:p>
            <w:pPr>
              <w:spacing w:line="259" w:lineRule="auto"/>
              <w:rPr>
                <w:rFonts w:ascii="宋体" w:hAnsi="宋体" w:cs="微软雅黑"/>
                <w:b/>
                <w:color w:val="000000"/>
              </w:rPr>
            </w:pPr>
            <w:r>
              <w:rPr>
                <w:rFonts w:hint="eastAsia" w:ascii="宋体" w:hAnsi="宋体" w:cs="微软雅黑"/>
                <w:b/>
                <w:color w:val="000000"/>
              </w:rPr>
              <w:t>安全(12</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shd w:val="clear" w:color="auto" w:fill="auto"/>
            <w:vAlign w:val="center"/>
          </w:tcPr>
          <w:p>
            <w:pPr>
              <w:spacing w:line="259" w:lineRule="auto"/>
              <w:rPr>
                <w:rFonts w:ascii="宋体" w:hAnsi="宋体"/>
                <w:color w:val="000000"/>
              </w:rPr>
            </w:pPr>
            <w:r>
              <w:rPr>
                <w:rFonts w:hint="eastAsia" w:ascii="宋体" w:hAnsi="宋体"/>
                <w:color w:val="000000"/>
              </w:rPr>
              <w:t>通行证件管理及安全教育</w:t>
            </w:r>
            <w:r>
              <w:rPr>
                <w:rFonts w:hint="eastAsia" w:ascii="宋体" w:hAnsi="宋体" w:cs="微软雅黑"/>
                <w:color w:val="000000"/>
              </w:rPr>
              <w:t>（8）</w:t>
            </w:r>
          </w:p>
        </w:tc>
        <w:tc>
          <w:tcPr>
            <w:tcW w:w="5812" w:type="dxa"/>
            <w:gridSpan w:val="2"/>
            <w:shd w:val="clear" w:color="auto" w:fill="auto"/>
          </w:tcPr>
          <w:p>
            <w:pPr>
              <w:spacing w:line="259" w:lineRule="auto"/>
              <w:ind w:left="2"/>
              <w:rPr>
                <w:rFonts w:ascii="宋体" w:hAnsi="宋体"/>
                <w:color w:val="000000"/>
              </w:rPr>
            </w:pPr>
            <w:r>
              <w:rPr>
                <w:rFonts w:hint="eastAsia" w:ascii="宋体" w:hAnsi="宋体"/>
                <w:color w:val="000000"/>
              </w:rPr>
              <w:t>乙方未按甲方要求对人员进行定期证件更新排查或安全教育的，每次扣1分。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shd w:val="clear" w:color="auto" w:fill="auto"/>
            <w:vAlign w:val="center"/>
          </w:tcPr>
          <w:p>
            <w:pPr>
              <w:spacing w:line="259" w:lineRule="auto"/>
              <w:rPr>
                <w:rFonts w:ascii="宋体" w:hAnsi="宋体"/>
                <w:color w:val="000000"/>
              </w:rPr>
            </w:pPr>
            <w:r>
              <w:rPr>
                <w:rFonts w:hint="eastAsia" w:ascii="宋体" w:hAnsi="宋体"/>
                <w:color w:val="000000"/>
              </w:rPr>
              <w:t>提供和维护安全的工作环境</w:t>
            </w:r>
            <w:r>
              <w:rPr>
                <w:rFonts w:hint="eastAsia" w:ascii="宋体" w:hAnsi="宋体" w:cs="微软雅黑"/>
                <w:color w:val="000000"/>
              </w:rPr>
              <w:t>（4）</w:t>
            </w:r>
          </w:p>
        </w:tc>
        <w:tc>
          <w:tcPr>
            <w:tcW w:w="5812" w:type="dxa"/>
            <w:gridSpan w:val="2"/>
            <w:shd w:val="clear" w:color="auto" w:fill="auto"/>
          </w:tcPr>
          <w:p>
            <w:pPr>
              <w:spacing w:line="259" w:lineRule="auto"/>
              <w:ind w:left="2"/>
              <w:rPr>
                <w:rFonts w:ascii="宋体" w:hAnsi="宋体"/>
                <w:color w:val="000000"/>
              </w:rPr>
            </w:pPr>
            <w:r>
              <w:rPr>
                <w:rFonts w:hint="eastAsia" w:ascii="宋体" w:hAnsi="宋体"/>
                <w:color w:val="000000"/>
              </w:rPr>
              <w:t>要求乙方有保证提供和维护安全工作环境的人力和物力能力，并不断完善和提高，发现安全隐患立即整改，拖延不整改或不到位的扣4分。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15" w:hRule="atLeast"/>
          <w:jc w:val="center"/>
        </w:trPr>
        <w:tc>
          <w:tcPr>
            <w:tcW w:w="9061" w:type="dxa"/>
            <w:gridSpan w:val="3"/>
            <w:shd w:val="clear" w:color="auto" w:fill="D9E2F3"/>
          </w:tcPr>
          <w:p>
            <w:pPr>
              <w:spacing w:line="259" w:lineRule="auto"/>
              <w:rPr>
                <w:rFonts w:ascii="宋体" w:hAnsi="宋体" w:cs="微软雅黑"/>
                <w:b/>
                <w:color w:val="000000"/>
              </w:rPr>
            </w:pPr>
            <w:r>
              <w:rPr>
                <w:rFonts w:hint="eastAsia" w:ascii="宋体" w:hAnsi="宋体" w:cs="微软雅黑"/>
                <w:b/>
              </w:rPr>
              <w:t>过程</w:t>
            </w:r>
            <w:r>
              <w:rPr>
                <w:rFonts w:hint="eastAsia" w:ascii="宋体" w:hAnsi="宋体" w:cs="微软雅黑"/>
                <w:b/>
                <w:color w:val="000000"/>
              </w:rPr>
              <w:t>(16</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249" w:type="dxa"/>
            <w:shd w:val="clear" w:color="auto" w:fill="auto"/>
            <w:vAlign w:val="center"/>
          </w:tcPr>
          <w:p>
            <w:pPr>
              <w:spacing w:line="259" w:lineRule="auto"/>
              <w:rPr>
                <w:rFonts w:ascii="宋体" w:hAnsi="宋体" w:cs="微软雅黑"/>
                <w:color w:val="000000"/>
              </w:rPr>
            </w:pPr>
            <w:r>
              <w:rPr>
                <w:rFonts w:hint="eastAsia" w:ascii="宋体" w:hAnsi="宋体" w:cs="微软雅黑"/>
                <w:color w:val="000000"/>
              </w:rPr>
              <w:t>工作计划方案的充分性和质量（4）</w:t>
            </w:r>
          </w:p>
        </w:tc>
        <w:tc>
          <w:tcPr>
            <w:tcW w:w="5812" w:type="dxa"/>
            <w:gridSpan w:val="2"/>
            <w:shd w:val="clear" w:color="auto" w:fill="auto"/>
          </w:tcPr>
          <w:p>
            <w:pPr>
              <w:spacing w:line="259" w:lineRule="auto"/>
              <w:ind w:left="2"/>
              <w:rPr>
                <w:rFonts w:ascii="宋体" w:hAnsi="宋体"/>
                <w:color w:val="000000"/>
              </w:rPr>
            </w:pPr>
            <w:r>
              <w:rPr>
                <w:rFonts w:hint="eastAsia" w:ascii="宋体" w:hAnsi="宋体"/>
                <w:color w:val="000000"/>
              </w:rPr>
              <w:t>工作计划制定详尽合理的得4分，监管人员视实际情况扣分。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249" w:type="dxa"/>
            <w:shd w:val="clear" w:color="auto" w:fill="auto"/>
            <w:vAlign w:val="center"/>
          </w:tcPr>
          <w:p>
            <w:pPr>
              <w:spacing w:line="259" w:lineRule="auto"/>
              <w:rPr>
                <w:rFonts w:ascii="宋体" w:hAnsi="宋体"/>
                <w:color w:val="000000"/>
              </w:rPr>
            </w:pPr>
            <w:r>
              <w:rPr>
                <w:rFonts w:hint="eastAsia" w:ascii="宋体" w:hAnsi="宋体" w:cs="微软雅黑"/>
                <w:color w:val="000000"/>
              </w:rPr>
              <w:t>台账及资料管理（4）</w:t>
            </w:r>
          </w:p>
        </w:tc>
        <w:tc>
          <w:tcPr>
            <w:tcW w:w="5812" w:type="dxa"/>
            <w:gridSpan w:val="2"/>
            <w:shd w:val="clear" w:color="auto" w:fill="auto"/>
          </w:tcPr>
          <w:p>
            <w:pPr>
              <w:spacing w:line="259" w:lineRule="auto"/>
              <w:ind w:left="2"/>
              <w:rPr>
                <w:rFonts w:ascii="宋体" w:hAnsi="宋体"/>
                <w:color w:val="000000"/>
              </w:rPr>
            </w:pPr>
            <w:r>
              <w:rPr>
                <w:rFonts w:hint="eastAsia" w:ascii="宋体" w:hAnsi="宋体"/>
                <w:color w:val="000000"/>
              </w:rPr>
              <w:t>经检查发现乙方人员未按要求填写台账和更新资料的，第一次发生扣1分，第二次发生则得0分。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249" w:type="dxa"/>
            <w:shd w:val="clear" w:color="auto" w:fill="auto"/>
            <w:vAlign w:val="center"/>
          </w:tcPr>
          <w:p>
            <w:pPr>
              <w:spacing w:line="259" w:lineRule="auto"/>
              <w:rPr>
                <w:rFonts w:ascii="宋体" w:hAnsi="宋体"/>
                <w:color w:val="000000"/>
              </w:rPr>
            </w:pPr>
            <w:r>
              <w:rPr>
                <w:rFonts w:hint="eastAsia" w:ascii="宋体" w:hAnsi="宋体" w:cs="微软雅黑"/>
                <w:color w:val="000000"/>
              </w:rPr>
              <w:t>工作进展及工作质量通报情况（4）</w:t>
            </w:r>
          </w:p>
        </w:tc>
        <w:tc>
          <w:tcPr>
            <w:tcW w:w="5812" w:type="dxa"/>
            <w:gridSpan w:val="2"/>
            <w:shd w:val="clear" w:color="auto" w:fill="auto"/>
          </w:tcPr>
          <w:p>
            <w:pPr>
              <w:spacing w:line="259" w:lineRule="auto"/>
              <w:rPr>
                <w:rFonts w:ascii="宋体" w:hAnsi="宋体"/>
                <w:color w:val="000000"/>
              </w:rPr>
            </w:pPr>
            <w:r>
              <w:rPr>
                <w:rFonts w:hint="eastAsia" w:ascii="宋体" w:hAnsi="宋体"/>
                <w:color w:val="000000"/>
              </w:rPr>
              <w:t>乙方不及时或故意不向甲方汇报工作进展的，第一次发生扣1分，第二次发生则得0分。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249" w:type="dxa"/>
            <w:shd w:val="clear" w:color="auto" w:fill="auto"/>
            <w:vAlign w:val="center"/>
          </w:tcPr>
          <w:p>
            <w:pPr>
              <w:spacing w:line="259" w:lineRule="auto"/>
              <w:rPr>
                <w:rFonts w:ascii="宋体" w:hAnsi="宋体" w:cs="微软雅黑"/>
                <w:color w:val="000000"/>
              </w:rPr>
            </w:pPr>
            <w:r>
              <w:rPr>
                <w:rFonts w:hint="eastAsia" w:ascii="宋体" w:hAnsi="宋体" w:cs="微软雅黑"/>
                <w:color w:val="000000"/>
              </w:rPr>
              <w:t>是否及时对发现的问题进行现场处理（4）</w:t>
            </w:r>
          </w:p>
        </w:tc>
        <w:tc>
          <w:tcPr>
            <w:tcW w:w="5812" w:type="dxa"/>
            <w:gridSpan w:val="2"/>
            <w:shd w:val="clear" w:color="auto" w:fill="auto"/>
          </w:tcPr>
          <w:p>
            <w:pPr>
              <w:spacing w:line="259" w:lineRule="auto"/>
              <w:rPr>
                <w:rFonts w:ascii="宋体" w:hAnsi="宋体"/>
                <w:color w:val="000000"/>
              </w:rPr>
            </w:pPr>
            <w:r>
              <w:rPr>
                <w:rFonts w:hint="eastAsia" w:ascii="宋体" w:hAnsi="宋体"/>
                <w:color w:val="000000"/>
              </w:rPr>
              <w:t>工作过程中发生问题未能及时采取补救措施的一次扣2分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9061" w:type="dxa"/>
            <w:gridSpan w:val="3"/>
            <w:shd w:val="clear" w:color="auto" w:fill="D9E2F3"/>
          </w:tcPr>
          <w:p>
            <w:pPr>
              <w:spacing w:line="259" w:lineRule="auto"/>
              <w:rPr>
                <w:rFonts w:ascii="宋体" w:hAnsi="宋体" w:cs="微软雅黑"/>
                <w:b/>
                <w:color w:val="000000"/>
              </w:rPr>
            </w:pPr>
            <w:r>
              <w:rPr>
                <w:rFonts w:hint="eastAsia" w:ascii="宋体" w:hAnsi="宋体" w:cs="微软雅黑"/>
                <w:b/>
                <w:color w:val="000000"/>
              </w:rPr>
              <w:t>资源(</w:t>
            </w:r>
            <w:r>
              <w:rPr>
                <w:rFonts w:ascii="宋体" w:hAnsi="宋体" w:cs="微软雅黑"/>
                <w:b/>
                <w:color w:val="000000"/>
              </w:rPr>
              <w:t>1</w:t>
            </w:r>
            <w:r>
              <w:rPr>
                <w:rFonts w:hint="eastAsia" w:ascii="宋体" w:hAnsi="宋体" w:cs="微软雅黑"/>
                <w:b/>
                <w:color w:val="000000"/>
              </w:rPr>
              <w:t>2</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shd w:val="clear" w:color="auto" w:fill="auto"/>
            <w:vAlign w:val="center"/>
          </w:tcPr>
          <w:p>
            <w:pPr>
              <w:spacing w:line="259" w:lineRule="auto"/>
              <w:rPr>
                <w:rFonts w:ascii="宋体" w:hAnsi="宋体"/>
                <w:color w:val="000000"/>
              </w:rPr>
            </w:pPr>
            <w:r>
              <w:rPr>
                <w:rFonts w:hint="eastAsia" w:ascii="宋体" w:hAnsi="宋体" w:cs="微软雅黑"/>
                <w:color w:val="000000"/>
              </w:rPr>
              <w:t>根据投标承诺足额配备人员（8）</w:t>
            </w:r>
          </w:p>
        </w:tc>
        <w:tc>
          <w:tcPr>
            <w:tcW w:w="5812" w:type="dxa"/>
            <w:gridSpan w:val="2"/>
            <w:shd w:val="clear" w:color="auto" w:fill="auto"/>
          </w:tcPr>
          <w:p>
            <w:pPr>
              <w:spacing w:line="259" w:lineRule="auto"/>
              <w:ind w:left="2"/>
              <w:rPr>
                <w:rFonts w:ascii="宋体" w:hAnsi="宋体"/>
                <w:color w:val="000000"/>
              </w:rPr>
            </w:pPr>
            <w:r>
              <w:rPr>
                <w:rFonts w:hint="eastAsia" w:ascii="宋体" w:hAnsi="宋体"/>
                <w:color w:val="000000"/>
              </w:rPr>
              <w:t>经检查发现乙方未按照要求配备规定人数或不满足工作需求的扣4分。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shd w:val="clear" w:color="auto" w:fill="auto"/>
            <w:vAlign w:val="center"/>
          </w:tcPr>
          <w:p>
            <w:pPr>
              <w:spacing w:line="259" w:lineRule="auto"/>
              <w:rPr>
                <w:rFonts w:ascii="宋体" w:hAnsi="宋体"/>
                <w:color w:val="000000"/>
              </w:rPr>
            </w:pPr>
            <w:r>
              <w:rPr>
                <w:rFonts w:hint="eastAsia" w:ascii="宋体" w:hAnsi="宋体" w:cs="微软雅黑"/>
                <w:color w:val="000000"/>
              </w:rPr>
              <w:t>根据投标承诺提供设备及耗材等（4）</w:t>
            </w:r>
          </w:p>
        </w:tc>
        <w:tc>
          <w:tcPr>
            <w:tcW w:w="5812" w:type="dxa"/>
            <w:gridSpan w:val="2"/>
            <w:shd w:val="clear" w:color="auto" w:fill="auto"/>
          </w:tcPr>
          <w:p>
            <w:pPr>
              <w:spacing w:line="259" w:lineRule="auto"/>
              <w:rPr>
                <w:rFonts w:ascii="宋体" w:hAnsi="宋体"/>
                <w:color w:val="000000"/>
              </w:rPr>
            </w:pPr>
            <w:r>
              <w:rPr>
                <w:rFonts w:hint="eastAsia" w:ascii="宋体" w:hAnsi="宋体"/>
                <w:color w:val="000000"/>
              </w:rPr>
              <w:t>发现乙方未按要求配备</w:t>
            </w:r>
            <w:r>
              <w:rPr>
                <w:rFonts w:hint="eastAsia" w:ascii="宋体" w:hAnsi="宋体" w:cs="微软雅黑"/>
                <w:color w:val="000000"/>
              </w:rPr>
              <w:t>常用工具、消耗品、器材等情况，第一次发生扣1分，第二次发生扣0分。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061" w:type="dxa"/>
            <w:gridSpan w:val="3"/>
            <w:shd w:val="clear" w:color="auto" w:fill="D9E2F3"/>
          </w:tcPr>
          <w:p>
            <w:pPr>
              <w:spacing w:line="259" w:lineRule="auto"/>
              <w:rPr>
                <w:rFonts w:ascii="宋体" w:hAnsi="宋体" w:cs="微软雅黑"/>
                <w:b/>
                <w:color w:val="000000"/>
              </w:rPr>
            </w:pPr>
            <w:r>
              <w:rPr>
                <w:rFonts w:hint="eastAsia" w:ascii="宋体" w:hAnsi="宋体" w:cs="微软雅黑"/>
                <w:b/>
                <w:color w:val="000000"/>
              </w:rPr>
              <w:t>其他(6</w:t>
            </w:r>
            <w:r>
              <w:rPr>
                <w:rFonts w:ascii="宋体" w:hAnsi="宋体" w:cs="微软雅黑"/>
                <w:b/>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3" w:hRule="atLeast"/>
          <w:jc w:val="center"/>
        </w:trPr>
        <w:tc>
          <w:tcPr>
            <w:tcW w:w="3249" w:type="dxa"/>
            <w:shd w:val="clear" w:color="auto" w:fill="auto"/>
          </w:tcPr>
          <w:p>
            <w:pPr>
              <w:spacing w:line="259" w:lineRule="auto"/>
              <w:rPr>
                <w:rFonts w:ascii="宋体" w:hAnsi="宋体"/>
                <w:color w:val="000000"/>
              </w:rPr>
            </w:pPr>
            <w:r>
              <w:rPr>
                <w:rFonts w:hint="eastAsia" w:ascii="宋体" w:hAnsi="宋体" w:cs="微软雅黑"/>
                <w:color w:val="000000"/>
              </w:rPr>
              <w:t>满意度</w:t>
            </w:r>
            <w:r>
              <w:rPr>
                <w:rFonts w:ascii="宋体" w:hAnsi="宋体" w:cs="微软雅黑"/>
                <w:color w:val="000000"/>
              </w:rPr>
              <w:t>(6)</w:t>
            </w:r>
          </w:p>
        </w:tc>
        <w:tc>
          <w:tcPr>
            <w:tcW w:w="5812" w:type="dxa"/>
            <w:gridSpan w:val="2"/>
            <w:shd w:val="clear" w:color="auto" w:fill="auto"/>
          </w:tcPr>
          <w:p>
            <w:pPr>
              <w:spacing w:line="259" w:lineRule="auto"/>
              <w:rPr>
                <w:rFonts w:ascii="宋体" w:hAnsi="宋体"/>
                <w:color w:val="000000"/>
              </w:rPr>
            </w:pPr>
            <w:r>
              <w:rPr>
                <w:rFonts w:hint="eastAsia" w:ascii="宋体" w:hAnsi="宋体"/>
                <w:color w:val="000000"/>
              </w:rPr>
              <w:t>每次满意度调查未达到合格的扣1-</w:t>
            </w:r>
            <w:r>
              <w:rPr>
                <w:rFonts w:ascii="宋体" w:hAnsi="宋体"/>
                <w:color w:val="000000"/>
              </w:rPr>
              <w:t>3分</w:t>
            </w:r>
            <w:r>
              <w:rPr>
                <w:rFonts w:hint="eastAsia" w:ascii="宋体" w:hAnsi="宋体"/>
                <w:color w:val="000000"/>
              </w:rPr>
              <w:t>。</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49" w:hRule="atLeast"/>
          <w:jc w:val="center"/>
        </w:trPr>
        <w:tc>
          <w:tcPr>
            <w:tcW w:w="9061" w:type="dxa"/>
            <w:gridSpan w:val="3"/>
            <w:shd w:val="clear" w:color="auto" w:fill="auto"/>
          </w:tcPr>
          <w:p>
            <w:pPr>
              <w:spacing w:line="259" w:lineRule="auto"/>
              <w:rPr>
                <w:rFonts w:ascii="宋体" w:hAnsi="宋体"/>
                <w:color w:val="000000"/>
              </w:rPr>
            </w:pPr>
            <w:r>
              <w:rPr>
                <w:rFonts w:hint="eastAsia" w:ascii="宋体" w:hAnsi="宋体" w:cs="微软雅黑"/>
                <w:b/>
                <w:color w:val="000000"/>
              </w:rPr>
              <w:t>加分项（10分）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shd w:val="clear" w:color="auto" w:fill="auto"/>
            <w:vAlign w:val="center"/>
          </w:tcPr>
          <w:p>
            <w:pPr>
              <w:spacing w:line="252" w:lineRule="auto"/>
              <w:rPr>
                <w:rFonts w:ascii="宋体" w:hAnsi="宋体"/>
                <w:color w:val="000000"/>
              </w:rPr>
            </w:pPr>
            <w:r>
              <w:rPr>
                <w:rFonts w:hint="eastAsia" w:ascii="宋体" w:hAnsi="宋体"/>
                <w:color w:val="000000"/>
              </w:rPr>
              <w:t>好人好事及表扬</w:t>
            </w:r>
            <w:r>
              <w:rPr>
                <w:rFonts w:hint="eastAsia" w:ascii="宋体" w:hAnsi="宋体" w:cs="微软雅黑"/>
                <w:color w:val="000000"/>
              </w:rPr>
              <w:t>（4）</w:t>
            </w:r>
          </w:p>
        </w:tc>
        <w:tc>
          <w:tcPr>
            <w:tcW w:w="5812" w:type="dxa"/>
            <w:gridSpan w:val="2"/>
            <w:shd w:val="clear" w:color="auto" w:fill="auto"/>
          </w:tcPr>
          <w:p>
            <w:pPr>
              <w:spacing w:line="259" w:lineRule="auto"/>
              <w:rPr>
                <w:rFonts w:ascii="宋体" w:hAnsi="宋体"/>
                <w:color w:val="000000"/>
              </w:rPr>
            </w:pPr>
            <w:r>
              <w:rPr>
                <w:rFonts w:hint="eastAsia" w:ascii="宋体" w:hAnsi="宋体"/>
                <w:color w:val="000000"/>
              </w:rPr>
              <w:t>每件好人好事，经甲方认可受到表扬的加2分，。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shd w:val="clear" w:color="auto" w:fill="auto"/>
            <w:vAlign w:val="center"/>
          </w:tcPr>
          <w:p>
            <w:pPr>
              <w:spacing w:line="252" w:lineRule="auto"/>
              <w:rPr>
                <w:rFonts w:ascii="宋体" w:hAnsi="宋体"/>
                <w:color w:val="000000"/>
              </w:rPr>
            </w:pPr>
            <w:r>
              <w:rPr>
                <w:rFonts w:hint="eastAsia" w:ascii="宋体" w:hAnsi="宋体"/>
                <w:color w:val="000000"/>
              </w:rPr>
              <w:t>提出可行性建议</w:t>
            </w:r>
            <w:r>
              <w:rPr>
                <w:rFonts w:hint="eastAsia" w:ascii="宋体" w:hAnsi="宋体" w:cs="微软雅黑"/>
                <w:color w:val="000000"/>
              </w:rPr>
              <w:t>（2）</w:t>
            </w:r>
          </w:p>
        </w:tc>
        <w:tc>
          <w:tcPr>
            <w:tcW w:w="5812" w:type="dxa"/>
            <w:gridSpan w:val="2"/>
            <w:shd w:val="clear" w:color="auto" w:fill="auto"/>
          </w:tcPr>
          <w:p>
            <w:pPr>
              <w:spacing w:line="259" w:lineRule="auto"/>
              <w:rPr>
                <w:rFonts w:ascii="宋体" w:hAnsi="宋体"/>
                <w:color w:val="000000"/>
              </w:rPr>
            </w:pPr>
            <w:r>
              <w:rPr>
                <w:rFonts w:hint="eastAsia" w:ascii="宋体" w:hAnsi="宋体"/>
                <w:color w:val="000000"/>
              </w:rPr>
              <w:t>经甲方认可，由乙方提出建议和意见已经实施的，每条加2分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shd w:val="clear" w:color="auto" w:fill="auto"/>
            <w:vAlign w:val="center"/>
          </w:tcPr>
          <w:p>
            <w:pPr>
              <w:spacing w:line="252" w:lineRule="auto"/>
              <w:rPr>
                <w:rFonts w:ascii="宋体" w:hAnsi="宋体"/>
                <w:color w:val="000000"/>
              </w:rPr>
            </w:pPr>
            <w:r>
              <w:rPr>
                <w:rFonts w:hint="eastAsia" w:ascii="宋体" w:hAnsi="宋体"/>
                <w:color w:val="000000"/>
              </w:rPr>
              <w:t>发现隐患主动上报并着手整改解决</w:t>
            </w:r>
            <w:r>
              <w:rPr>
                <w:rFonts w:hint="eastAsia" w:ascii="宋体" w:hAnsi="宋体" w:cs="微软雅黑"/>
                <w:color w:val="000000"/>
              </w:rPr>
              <w:t>（4）</w:t>
            </w:r>
          </w:p>
        </w:tc>
        <w:tc>
          <w:tcPr>
            <w:tcW w:w="5812" w:type="dxa"/>
            <w:gridSpan w:val="2"/>
            <w:shd w:val="clear" w:color="auto" w:fill="auto"/>
          </w:tcPr>
          <w:p>
            <w:pPr>
              <w:spacing w:line="259" w:lineRule="auto"/>
              <w:rPr>
                <w:rFonts w:ascii="宋体" w:hAnsi="宋体"/>
                <w:color w:val="000000"/>
              </w:rPr>
            </w:pPr>
            <w:r>
              <w:rPr>
                <w:rFonts w:hint="eastAsia" w:ascii="宋体" w:hAnsi="宋体"/>
                <w:color w:val="000000"/>
              </w:rPr>
              <w:t>每次可加1分。</w:t>
            </w:r>
          </w:p>
        </w:tc>
      </w:tr>
    </w:tbl>
    <w:p>
      <w:pPr>
        <w:spacing w:line="259" w:lineRule="auto"/>
        <w:ind w:right="765"/>
        <w:rPr>
          <w:rFonts w:ascii="Adobe 楷体 Std R" w:hAnsi="Adobe 楷体 Std R" w:eastAsia="Adobe 楷体 Std R"/>
          <w:szCs w:val="32"/>
        </w:rPr>
      </w:pPr>
    </w:p>
    <w:p>
      <w:pPr>
        <w:widowControl/>
        <w:spacing w:line="560" w:lineRule="exact"/>
        <w:ind w:firstLine="420"/>
        <w:jc w:val="left"/>
        <w:rPr>
          <w:rFonts w:cs="Calibri"/>
          <w:bCs/>
          <w:szCs w:val="32"/>
        </w:rPr>
        <w:sectPr>
          <w:pgSz w:w="11906" w:h="16838"/>
          <w:pgMar w:top="1134" w:right="1247" w:bottom="1134" w:left="1247" w:header="851" w:footer="1134" w:gutter="0"/>
          <w:pgNumType w:fmt="numberInDash"/>
          <w:cols w:space="720" w:num="1"/>
          <w:docGrid w:linePitch="312" w:charSpace="0"/>
        </w:sectPr>
      </w:pPr>
    </w:p>
    <w:p>
      <w:pPr>
        <w:spacing w:line="360" w:lineRule="auto"/>
        <w:jc w:val="left"/>
        <w:rPr>
          <w:rFonts w:ascii="仿宋_GB2312" w:eastAsia="仿宋_GB2312" w:hAnsiTheme="minorHAnsi"/>
          <w:sz w:val="24"/>
          <w:szCs w:val="24"/>
        </w:rPr>
      </w:pPr>
      <w:r>
        <w:rPr>
          <w:rFonts w:hint="eastAsia" w:ascii="仿宋_GB2312" w:eastAsia="仿宋_GB2312" w:hAnsiTheme="minorHAnsi"/>
          <w:sz w:val="24"/>
          <w:szCs w:val="24"/>
        </w:rPr>
        <w:t>附件4：</w:t>
      </w:r>
    </w:p>
    <w:p>
      <w:pPr>
        <w:pStyle w:val="564"/>
        <w:snapToGrid w:val="0"/>
        <w:spacing w:line="560" w:lineRule="exact"/>
        <w:ind w:left="1" w:firstLine="482" w:firstLineChars="200"/>
        <w:rPr>
          <w:rFonts w:ascii="仿宋_GB2312" w:eastAsia="仿宋_GB2312" w:hAnsiTheme="minorHAnsi"/>
          <w:b/>
          <w:bCs/>
          <w:color w:val="auto"/>
          <w:szCs w:val="24"/>
        </w:rPr>
      </w:pPr>
      <w:r>
        <w:rPr>
          <w:rFonts w:hint="eastAsia" w:ascii="仿宋_GB2312" w:eastAsia="仿宋_GB2312" w:hAnsiTheme="minorHAnsi" w:cstheme="minorBidi"/>
          <w:b/>
          <w:bCs/>
          <w:color w:val="auto"/>
          <w:kern w:val="2"/>
          <w:szCs w:val="24"/>
        </w:rPr>
        <w:t xml:space="preserve">                         </w:t>
      </w:r>
      <w:r>
        <w:rPr>
          <w:rFonts w:hint="eastAsia" w:ascii="仿宋_GB2312" w:eastAsia="仿宋_GB2312" w:hAnsiTheme="minorHAnsi"/>
          <w:b/>
          <w:bCs/>
          <w:color w:val="auto"/>
          <w:szCs w:val="24"/>
        </w:rPr>
        <w:t>航站楼绿化租摆技术规范</w:t>
      </w:r>
    </w:p>
    <w:p>
      <w:pPr>
        <w:adjustRightInd w:val="0"/>
        <w:snapToGrid w:val="0"/>
        <w:spacing w:line="360" w:lineRule="auto"/>
        <w:ind w:left="1" w:firstLine="480" w:firstLineChars="200"/>
        <w:rPr>
          <w:rFonts w:ascii="仿宋_GB2312" w:eastAsia="仿宋_GB2312" w:hAnsiTheme="minorHAnsi"/>
          <w:sz w:val="24"/>
          <w:szCs w:val="24"/>
        </w:rPr>
      </w:pP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（一）植物摆放要求</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1.摆放基本原则</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（1）绿植/花卉布置应按航站楼内整体绿化规划进行摆放，布局合理，层次分明，疏密有度，高低错落有致。</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（2）绿植/花卉的色彩、形态、气质应与空间大小、装饰氛围及功能相协调。</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（3）植物群落完整，层次丰富，有整体观赏效果。</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（4）绿植/花卉直线摆放时要求间距相等，做到横平竖直，不得有歪斜现象。</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（5）绿植/花卉应组合摆放，讲究艺术性，所用植物品种多样、造型美观、色泽光亮、协调整齐。</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（6）大型（整体面积大于20平方米）景观绿化墙、大型绿植/花卉区植物的设置应与整体环境相协调，既庄重典雅，充满艺术情趣，又能显现出自然温馨、生机盎然之感。</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（7）中型（整体面积大于10平方米小于20平方米）绿化区域绿植/花卉的设置应追求艺术性，不应一味地简单放置，应与航站区环境协调统一，突出大方端庄的气氛。</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（8）小型（整体面积小于10平方米）绿化区域绿植/花卉的摆放应以满足使用功能为主，选用一些中小型观叶植物来装饰空间，既不妨碍人们的视线，又让人行动自如，突出清净优雅的环境氛围。</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（8）临时绿化区域、特殊空间、特殊环境绿植/花卉的摆放应与整体环境相协调，突出造型特色，设计方案应报机场公司相关部门审定，批准后实施。</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2.摆放细则</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（1）航站楼各出入口门内靠立柱区域应放置大型常绿观叶植物、常绿灌木或小乔木，高度不超过300厘米。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（2）航站楼内自助值机设备附近应放置喜温暖湿润、耐受力较佳的常绿灌木、乔木或观叶植物，高度不超过150厘米。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（3）航站楼内自助取款机设备附近应放置喜阴的大中型常绿观叶植物、常绿灌木或小乔木，高度不超过300厘米。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（4）航站楼问询台台面上应放置观赏性强的高档花卉及组合，高度不超过80厘米，放置于柜台内工作人员的左前方台面或者两侧台面，单个底盘直径不超过30厘米。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（5） 航站楼头等舱或商务舱柜台台面、高端会员柜台台面应放置观赏性强、品质优良的高档花卉，高度不超过80厘米，放置于柜台内工作人员的左前方台面或者两侧台面，单个底盘直径不超过30厘米。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（6）航站楼头等舱或商务舱柜台前迎宾处、高端会员柜台前迎宾处应放置观赏性佳的观叶植物或花期较长的中档花卉，排列整齐，造型美观，不阻碍旅客通行，高度不超过100厘米。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（7）航站楼内安检优先通道柜台台面上应放置花期较长、观赏性佳的中高档花卉，高度不超过40厘米，放置于柜台内工作人员的左前方台面，单个底盘直径不超过15厘米。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（8）航站楼内安检区域硬隔离前应放置常绿观叶植物或小乔木，高度不超过150厘米。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（9）航站楼大厅中立柱朝出入口方向侧前方应放置常绿观叶植物、常绿灌木或小乔木，高度不超过400厘米。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（10）航站楼旅客座椅旁应放置中小型观叶植物或普通花卉，高度不超过80厘米；长凳型旅客座椅区应放置常绿观叶植物或常绿灌木，高度不超过200厘米。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（11）航站楼值机岛边广告牌下、自动扶梯口广告牌下应放置中小型观叶植物或普通花卉，高度不超过100厘米。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（12）航站楼大厅船型座椅中间非座位区域应放置花色艳丽、色彩丰富、花期较长的中档花卉或观赏性佳的观叶植物，高度不超过50厘米。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（13）航站楼内墙边应在恰当位置放置喜阴的大中型常绿观叶植物，高度不超过300厘米。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（14）航站楼内大型独立显示屏旁、落地式电子广告屏旁应放置常绿的观叶植物或常绿灌木、乔木，高度不超过250厘米。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（15）航站楼内立牌旁应放置花期较长、观赏性佳的中档花卉或常绿观叶植物，高度不超过150厘米。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16）航站楼内连廊处中间位置应放置绿植/花卉组合，选择花色艳丽的中档花卉及常绿观叶植物，高度不超过250厘米，单个组合面积不大于10平方米。连廊靠幕墙玻璃侧每隔10米放置喜阳的大中型常绿乔木、灌木或观叶植物，高度不超过250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（17）航站楼内自动扶梯/楼梯口附近应放置喜阴、喜温暖湿润的丛生常绿灌木或观叶植物，高度不超过300厘米。自动步道两侧每隔10米应放置中小型普通花卉或常绿观叶植物，高度不超过80厘米。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（18）航站楼内安检工作人员通道、安检优先通道及门口应放置常绿的灌木、乔木或观叶植物，高度不超过300厘米。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（19）航站楼内玻璃幕墙前应在合适位置放置大中型观叶植物、常绿灌木或乔木，高度不超过300厘米。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（20）航站楼隔离区内隔断玻璃前应放置大中型常绿观叶植物或常绿灌木、乔木，高度不超过300厘米。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（21）航站楼登机口附近立柱旁应放置大中型观叶植物、常绿灌木或乔木，高度不超过400厘米。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（22）航站楼内行李提取转盘中间空位应放置中小型普通花卉及喜阴、生命力旺盛的绿植，高度不超过150厘米。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（23）航站楼内悬挂式植物下垂叶面离地面不得低于180厘米。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（24）航站楼内放置于地毯上的花器/套盆必须通过密闭性防水测试。</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（25）因特殊情况需要在地毯等软性装饰地面放置绿植/花卉时，应增加专用美观的隔水毯。</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3.现场管理标准</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（1）按计划及时做好绿植/花卉的摆放、调换及填充。</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（2）进出航站楼的绿化作业人员应佩戴有效工作证件，着装应整齐，携带相应的器具。</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（3）作业人员应按操作规程完成绿化作业，符合专业化操作。</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（4）搬运摆放花卉时应选择航班结束后进行，特殊情况下在得到甲方同意后方可进行，但必须避开旅客高峰期；影响周围环境卫生的，应及时处理，达到</w:t>
      </w:r>
      <w:r>
        <w:rPr>
          <w:rFonts w:hint="eastAsia" w:ascii="仿宋_GB2312" w:eastAsia="仿宋_GB2312"/>
          <w:sz w:val="24"/>
          <w:szCs w:val="24"/>
        </w:rPr>
        <w:t>服务</w:t>
      </w:r>
      <w:r>
        <w:rPr>
          <w:rFonts w:hint="eastAsia" w:ascii="仿宋_GB2312" w:eastAsia="仿宋_GB2312" w:hAnsiTheme="minorHAnsi"/>
          <w:sz w:val="24"/>
          <w:szCs w:val="24"/>
        </w:rPr>
        <w:t>要求；运输工具车不得阻碍旅客通道，保证公共通道的畅通。</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（5）对遇到相关内容的服务质量、环境检查、投诉意见等需进行整改的问题，作业单位应在规定的期限内完成整改，并将整改情况及时向甲方反馈。</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（二）花堆布置要求</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1.航站楼内花堆根据设置摆放期限可分为固定（七个月）、节假日（一到二个月以内）。</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2.航站楼内花堆应有专人维护，每日定时巡视。出现破损缺失，应在当日修补或拆除。</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3.航站楼内花堆的现场安装应由具有专业资质的公司执行，须在安装区域无航班或航班结束后进行，不得干扰正常的航站区运行；航站楼内花堆的安装不得改变航站楼结构；安装过程由甲方监管，乙方施工单位应接受甲方相应培训，并签订安保及消防安全责任书。</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4.航站楼内花堆在摆放期满后，应在3日内拆除；拆除应由具有专业资质的公司执行，须在该区域无航班或航班结束后进行，不得干扰正常的航站区运行；拆除景观后，应恢复该区域原状。</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5.航站楼内花堆中租摆的硬质景观种类、规格、摆放位置、放置标准、日常维护应严格遵守合同规范和甲方的规划要求，若无法达到甲方要求，甲方有权要求乙方进行更换。</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6.硬质景观中使用材料的厚度、长宽、角度、平面度应符合国家相关标准。</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7.硬质景观中使用的材料应选择生产规模较大、产品质量标准与产品色泽稳定的厂家。</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8.所有硬质景观中使用的材料必须选用合格品以上产品。</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9.硬质景观中使用的材料要求防火阻燃，边角圆润，色泽鲜艳，表面清洁、无破损、无划痕。</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10.硬质景观中不得使用含有水、电等易存在安全隐患的物品。</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11.硬质景观的造型应与周围花堆造型及植物造型、风格相协调。</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12.严禁在硬质景观中设置任何含广告类性质物品。</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13.硬质景观要求整体造型立体，每个角度均有观赏价值。</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14.硬质景观摆放前，甲方应根据合同要求和甲方布置要求将设计方案及计划在规定的时间内提前报送，通过甲方审批后方可实施。</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（三）植物的维护要求</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1.植株</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（1）租摆植物应选择光度、温度、湿度的耐受程度适宜，观赏性强，观赏周期长的品种；品种选择应多样化，根据所用植物的习性及时更新，避免品种单一化。</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（2）租摆植物应布局合理层次分明，错落有致；植物季相分明，色彩艳丽，生长茂盛。</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（3）租摆植物应长势良好，枝叶茂盛，叶色翠绿，花色鲜艳，保持丰富色彩和香味。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（4）租摆植物无枯枝、病叶、黄叶、黑叶、无虫咬的孔洞，茎秆和叶子不霉。</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（5）租摆植物的叶子健壮，叶色正常，叶面无尘土、污物，保持洁净光亮。</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（6）擦拭叶面时应做到下手轻、顺叶脉方向，擦拭后的植物应呈现植物原本叶色。</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（7）枝干正常，无明显枯枝、死干，树冠基本完整，主侧枝分布均匀，树冠通风透光。</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（8）绿植修剪平整，冠幅整洁，线条优美，无明显残叶、残枝、病虫枝。</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（9）花卉修剪美观，无萎靡状态的残花、败花。</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（10）土壤干湿适度，洁净，无杂物、杂草、纸屑等。</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（11）陶粒铺设平整均匀，表面无杂物。</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（12）租摆植物的整体造型应与所选品种的观赏效果一致。</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（13）及时修剪、整形，美化外形，给租摆植物创造良好生长环境，提高观赏性。</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（14）定期浇水、施肥、松土，充分满足租摆植物的生长需要。</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（15）定时除草、松土，保持土壤疏松通透，无杂草。</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（16）及时扶正加固植株，按规范做好综合防护措施。</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（17）注意租摆植物的病虫害防治，防止病虫害侵蚀花草树木。</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（18）杀虫药水、植物肥料符合国家安全标准，无严重刺激性气味。</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2.花器/套盆</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（1）花盆/套盆应与航站楼整体环境相协调，与租摆植物的造型风格统一。</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（2）同一区域的花器/套盆种类、花色、大小相同。</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（3）所有租摆植物配有尺寸、风格协调的花器/套盆，套盆与植物的比例适当，套盆需与外部容器规格一致，颜色保持协调，整体和谐美观象。</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（4）花器/套盆内外洁净整齐，无纸屑、烟头等污物，花器/套盆内不留有积水，四周不得有水浸出，若有溢出及时清理，套盆底盘无污渍。</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（5）注意花器/套盆的维护，花器/套盆完整，无破损、残痕，对破损的花器/套盆及时进行更换。</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（6）更换花器/套盆时，保护租摆植物的株型姿态不受损，尽量减少花泥及污物的散落。</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（7）及时添加盆泥，注意周边环境卫生，及时清理积水及污泥等垃圾。</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（8）航站区严禁用简易裸露的套盆直接放置布景。</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（四）租摆植物的更新要求</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1.特大型植物每年必须更换1次或以上。</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2.超大型、大型植物每年必须更换2次或以上。</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3.中型、小型植物每年必须更换3次或以上。</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4.花卉类植物每年必须更换6-8次或以上。</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5.所有盆花在质量不符合甲方要求时，必须在48小时之内完成更换。</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（五）T1内庭院养护技术要求</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1.每周进行一次日常养护：清除杂草、喂鱼食、清理水池杂物，植物修剪。</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2.每季度进行一次大型养护：包括大型植物修剪、小型苗木枯萎更换、水池及净化装置清洗、鱼苗的增补以及电气系统维护。</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（六）现场管理要求</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1.乙方要定期对航站楼内的租摆植物的生长情况进行巡视，定期对植物进行浇水、松土、施肥、修剪、换盆、防虫害等养护工作，做到花草繁茂，树木旺盛。</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2.进出航站楼的养护人员应佩戴有效工作证件，着装应整齐，携带相应的养护器具。</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3.养护人员应熟知花草树木的名称、科属、生长习性，进行科学养护及管理。</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4.养护人员应按操作规程完成绿化作业，符合专业化操作。</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5.掌握植物养护器械的正确使用方法，对租摆植物进行日常维护和保养时应使用专用工具，严格执行器械、药品保管和保养的程序。</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6.按计划及时做好租摆植物的调换、填充。</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7.租摆植物无枯枝、残花，发现后1日内清理更换。</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8.养护修剪的树枝、残花、枯枝落叶等垃圾必须及时清理，做到工完料清，严禁养护垃圾过夜。</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9.养护人员按规定每日进行巡视、养护，并将养护内容进行记录，对疑问或事故情况及时向主管或相关人员汇报。</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10.日常维护（修剪、浇水）可在白天工作时间内进行，但要尽量避开旅客高峰时段，需要时放置提示牌，避免滑倒旅客，不影响周围环境秩序和卫生,严禁浇水过程中，将水溢出公共区。</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11.日常维护工作中，应以旅客先行为主，避让旅客，使用礼貌用语，提示过往旅客注意安全。</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12.养护期间加强日常监督工作，防止人为因素破坏。</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13.搬运摆放花卉、冲洗养护大型绿植以及搬运大型硬质景观时应选择航班结束后进行，特殊情况下在得到航站区管理部同意后方可进行，但必须避开旅客高峰期。</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14.影响周围环境卫生的（如运输、养护、摆放等），应及时处理，达到</w:t>
      </w:r>
      <w:r>
        <w:rPr>
          <w:rFonts w:hint="eastAsia" w:ascii="仿宋_GB2312" w:eastAsia="仿宋_GB2312"/>
          <w:sz w:val="24"/>
          <w:szCs w:val="24"/>
        </w:rPr>
        <w:t>服务</w:t>
      </w:r>
      <w:r>
        <w:rPr>
          <w:rFonts w:hint="eastAsia" w:ascii="仿宋_GB2312" w:eastAsia="仿宋_GB2312" w:hAnsiTheme="minorHAnsi"/>
          <w:sz w:val="24"/>
          <w:szCs w:val="24"/>
        </w:rPr>
        <w:t>要求。</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15.绿化及硬质景观运输过程中不得占用手推车，运输工具车不得阻碍旅客通道，保证公共通道的畅通。</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16.对遇到相关内容的服务质量、环境检查、投诉意见等需进行整改的问题，乙方应在规定的期限内完成整改，并将整改情况及时向航站区管理部反馈。</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17.养护人员应熟知硬质景观的用材、构造，掌握硬质景观养护器械的正确使用方法，进行科学、专业化的养护及管理。</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18.按计划及时做好硬质景观的调换、填充。</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19.养护硬质景观产生的垃圾必须及时清理，做到工完料清，恢复周围环境卫生，严禁养护垃圾过夜。</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20.硬质景观发现破损应在2个工作日内完成维修，无法维修或维修后影响视觉效果的应在3个工作日内完成更换。</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（六）养护人员管理</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1.养护人员应满足甲方对花卉养护的一切合理要求。</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2.养护内容包括根据植物生长状况进行的浇灌、喷雾、修株整形、营养供给、病虫害防治等。</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3.养护人员在养护过程中应做到植物造形保持美观，摆放合理，叶色自然。铺垫的石子及陶粒保持整齐、干净。</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4.养护人员进行养护时要随身携带干净抹布、剪刀、塑料布、营养液、小喷壶及基本杀虫药剂；发现植物有黄叶、破损叶、多余枝叶要及时修剪，保证花卉定期修剪、无病虫害及花卉无单面长时间缺光。</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5.养护人员在进行养护时，要保证鞋底干净无泥水；桌面、地面及周围设施不被污染及损伤；保证浇完水或浸泡完毕的花卉，没有污水溢流现象。</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7.养护人员在养护工作中，要遵守甲方的规章制度，不做与养护无关的事。</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8.养护期间如植物出现严重黄叶、枯萎死亡现象，随时以相同同种或相近的植物进行替换。</w:t>
      </w:r>
    </w:p>
    <w:p>
      <w:pPr>
        <w:adjustRightInd w:val="0"/>
        <w:snapToGrid w:val="0"/>
        <w:spacing w:line="360" w:lineRule="auto"/>
        <w:ind w:left="1" w:firstLine="480" w:firstLineChars="200"/>
        <w:rPr>
          <w:rFonts w:ascii="仿宋_GB2312" w:eastAsia="仿宋_GB2312" w:hAnsiTheme="minorHAnsi"/>
          <w:sz w:val="24"/>
          <w:szCs w:val="24"/>
        </w:rPr>
      </w:pPr>
      <w:r>
        <w:rPr>
          <w:rFonts w:hint="eastAsia" w:ascii="仿宋_GB2312" w:eastAsia="仿宋_GB2312" w:hAnsiTheme="minorHAnsi"/>
          <w:sz w:val="24"/>
          <w:szCs w:val="24"/>
        </w:rPr>
        <w:t>9.需做好所服务区域的所有盆花的日常养护（日常浇水、修剪、保洁），不得出现因养护不当枯死现场发生。</w:t>
      </w:r>
    </w:p>
    <w:p>
      <w:pPr>
        <w:rPr>
          <w:rFonts w:ascii="仿宋_GB2312" w:eastAsia="仿宋_GB2312" w:hAnsiTheme="minorHAnsi"/>
          <w:sz w:val="24"/>
          <w:szCs w:val="24"/>
        </w:rPr>
        <w:sectPr>
          <w:pgSz w:w="11906" w:h="16838"/>
          <w:pgMar w:top="623" w:right="926" w:bottom="779" w:left="1260" w:header="851" w:footer="992" w:gutter="0"/>
          <w:cols w:space="720" w:num="1"/>
          <w:docGrid w:type="lines" w:linePitch="312" w:charSpace="0"/>
        </w:sectPr>
      </w:pPr>
    </w:p>
    <w:p>
      <w:pPr>
        <w:spacing w:line="360" w:lineRule="auto"/>
        <w:jc w:val="left"/>
        <w:rPr>
          <w:rFonts w:ascii="仿宋_GB2312" w:eastAsia="仿宋_GB2312" w:hAnsiTheme="minorHAnsi"/>
          <w:sz w:val="24"/>
          <w:szCs w:val="24"/>
        </w:rPr>
      </w:pPr>
      <w:r>
        <w:rPr>
          <w:rFonts w:hint="eastAsia" w:ascii="仿宋_GB2312" w:eastAsia="仿宋_GB2312" w:hAnsiTheme="minorHAnsi"/>
          <w:sz w:val="24"/>
          <w:szCs w:val="24"/>
        </w:rPr>
        <w:t>附件5：</w:t>
      </w:r>
    </w:p>
    <w:p>
      <w:pPr>
        <w:adjustRightInd w:val="0"/>
        <w:snapToGrid w:val="0"/>
        <w:spacing w:line="360" w:lineRule="auto"/>
        <w:jc w:val="center"/>
        <w:rPr>
          <w:rFonts w:ascii="仿宋_GB2312" w:eastAsia="仿宋_GB2312" w:hAnsiTheme="minorHAnsi"/>
          <w:sz w:val="24"/>
          <w:szCs w:val="24"/>
        </w:rPr>
      </w:pPr>
      <w:r>
        <w:rPr>
          <w:rFonts w:hint="eastAsia" w:ascii="仿宋_GB2312" w:eastAsia="仿宋_GB2312" w:hAnsiTheme="minorHAnsi"/>
          <w:b/>
          <w:bCs/>
          <w:sz w:val="24"/>
          <w:szCs w:val="24"/>
        </w:rPr>
        <w:t>安全生产协议</w:t>
      </w:r>
    </w:p>
    <w:p>
      <w:pPr>
        <w:adjustRightInd w:val="0"/>
        <w:snapToGrid w:val="0"/>
        <w:spacing w:line="360" w:lineRule="auto"/>
        <w:rPr>
          <w:rFonts w:ascii="仿宋_GB2312" w:eastAsia="仿宋_GB2312" w:hAnsiTheme="minorHAnsi"/>
          <w:sz w:val="24"/>
          <w:szCs w:val="24"/>
        </w:rPr>
      </w:pPr>
    </w:p>
    <w:p>
      <w:pPr>
        <w:adjustRightInd w:val="0"/>
        <w:snapToGrid w:val="0"/>
        <w:spacing w:line="360" w:lineRule="auto"/>
        <w:rPr>
          <w:rFonts w:ascii="仿宋_GB2312" w:eastAsia="仿宋_GB2312" w:hAnsiTheme="minorHAnsi"/>
          <w:sz w:val="24"/>
          <w:szCs w:val="24"/>
        </w:rPr>
      </w:pPr>
      <w:r>
        <w:rPr>
          <w:rFonts w:hint="eastAsia" w:ascii="仿宋_GB2312" w:eastAsia="仿宋_GB2312" w:hAnsiTheme="minorHAnsi"/>
          <w:sz w:val="24"/>
          <w:szCs w:val="24"/>
        </w:rPr>
        <w:t>甲方：杭州萧山国际机场有限公司</w:t>
      </w:r>
    </w:p>
    <w:p>
      <w:pPr>
        <w:adjustRightInd w:val="0"/>
        <w:snapToGrid w:val="0"/>
        <w:spacing w:line="360" w:lineRule="auto"/>
        <w:rPr>
          <w:rFonts w:ascii="仿宋_GB2312" w:eastAsia="仿宋_GB2312" w:hAnsiTheme="minorHAnsi"/>
          <w:sz w:val="24"/>
          <w:szCs w:val="24"/>
        </w:rPr>
      </w:pPr>
      <w:r>
        <w:rPr>
          <w:rFonts w:hint="eastAsia" w:ascii="仿宋_GB2312" w:eastAsia="仿宋_GB2312" w:hAnsiTheme="minorHAnsi"/>
          <w:sz w:val="24"/>
          <w:szCs w:val="24"/>
        </w:rPr>
        <w:t>乙方：</w:t>
      </w:r>
    </w:p>
    <w:p>
      <w:pPr>
        <w:adjustRightInd w:val="0"/>
        <w:snapToGrid w:val="0"/>
        <w:spacing w:line="360" w:lineRule="auto"/>
        <w:rPr>
          <w:rFonts w:ascii="仿宋_GB2312" w:eastAsia="仿宋_GB2312" w:hAnsiTheme="minorHAnsi"/>
          <w:sz w:val="24"/>
          <w:szCs w:val="24"/>
        </w:rPr>
      </w:pPr>
    </w:p>
    <w:p>
      <w:pPr>
        <w:adjustRightInd w:val="0"/>
        <w:snapToGrid w:val="0"/>
        <w:spacing w:line="360" w:lineRule="auto"/>
        <w:rPr>
          <w:rFonts w:ascii="仿宋_GB2312" w:eastAsia="仿宋_GB2312" w:hAnsiTheme="minorHAnsi"/>
          <w:sz w:val="24"/>
          <w:szCs w:val="24"/>
        </w:rPr>
      </w:pPr>
      <w:r>
        <w:rPr>
          <w:rFonts w:hint="eastAsia" w:ascii="仿宋_GB2312" w:eastAsia="仿宋_GB2312" w:hAnsiTheme="minorHAnsi"/>
          <w:sz w:val="24"/>
          <w:szCs w:val="24"/>
        </w:rPr>
        <w:t xml:space="preserve">    为贯彻“安全第一，预防为主”的方针，根据国家、杭州市和民航局关于劳动保护、安全生产的有关规定和机场隔离区管理部门的管理制度，明确双方的安全生产责任制，确保安全，双方签订本安全生产协议：</w:t>
      </w:r>
    </w:p>
    <w:p>
      <w:pPr>
        <w:adjustRightInd w:val="0"/>
        <w:snapToGrid w:val="0"/>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1</w:t>
      </w:r>
      <w:r>
        <w:rPr>
          <w:rFonts w:hint="eastAsia" w:ascii="仿宋_GB2312" w:eastAsia="仿宋_GB2312"/>
          <w:sz w:val="24"/>
          <w:szCs w:val="24"/>
        </w:rPr>
        <w:t>.</w:t>
      </w:r>
      <w:r>
        <w:rPr>
          <w:rFonts w:hint="eastAsia" w:ascii="仿宋_GB2312" w:eastAsia="仿宋_GB2312" w:hAnsiTheme="minorHAnsi"/>
          <w:sz w:val="24"/>
          <w:szCs w:val="24"/>
        </w:rPr>
        <w:t>乙方必须要求其员工、顾问、代理、供应商、客户、邀请者、来访者和他们各自的雇员在机场或机场周边地区遵守机场的全部规章制度，对违反规定的当事人行为及产生的后果承担责任。</w:t>
      </w:r>
    </w:p>
    <w:p>
      <w:pPr>
        <w:adjustRightInd w:val="0"/>
        <w:snapToGrid w:val="0"/>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2</w:t>
      </w:r>
      <w:r>
        <w:rPr>
          <w:rFonts w:hint="eastAsia" w:ascii="仿宋_GB2312" w:eastAsia="仿宋_GB2312"/>
          <w:sz w:val="24"/>
          <w:szCs w:val="24"/>
        </w:rPr>
        <w:t>.</w:t>
      </w:r>
      <w:r>
        <w:rPr>
          <w:rFonts w:hint="eastAsia" w:ascii="仿宋_GB2312" w:eastAsia="仿宋_GB2312" w:hAnsiTheme="minorHAnsi"/>
          <w:sz w:val="24"/>
          <w:szCs w:val="24"/>
        </w:rPr>
        <w:t>通行证管理</w:t>
      </w:r>
    </w:p>
    <w:p>
      <w:pPr>
        <w:adjustRightInd w:val="0"/>
        <w:snapToGrid w:val="0"/>
        <w:spacing w:line="360" w:lineRule="auto"/>
        <w:rPr>
          <w:rFonts w:ascii="仿宋_GB2312" w:eastAsia="仿宋_GB2312" w:hAnsiTheme="minorHAnsi"/>
          <w:sz w:val="24"/>
          <w:szCs w:val="24"/>
        </w:rPr>
      </w:pPr>
      <w:r>
        <w:rPr>
          <w:rFonts w:hint="eastAsia" w:ascii="仿宋_GB2312" w:eastAsia="仿宋_GB2312" w:hAnsiTheme="minorHAnsi"/>
          <w:sz w:val="24"/>
          <w:szCs w:val="24"/>
        </w:rPr>
        <w:t xml:space="preserve">    乙方随时保证其因本合同条款要求进入机场控制区工作的人员和交通工具必须具有申请办理通行证的资格，符合《杭州萧山国际机场控制区通行证管理规定》的准入要求，乙方对其申办人员负有保证证件、证明材料真实、合法、有效性的审核义务，同时其人员必须遵守相关机场控制区管理的要求和规定，以及《杭州萧山国际机场控制区通行证管理规定》涉及的所有条款。乙方完全知悉并承诺遵守《杭州萧山国际机场控制区通行证管理规定》和其相关制度，甲方有绝对权力取消、延迟或拒绝对乙方人员或交通工具控制区通行证的办理和签发。乙方对此无条件接受，并无任何异议包括但不限于对间接或直接的金钱损失的申诉）。乙方承担通行证申请过程中人员办理的一切费用。</w:t>
      </w:r>
    </w:p>
    <w:p>
      <w:pPr>
        <w:adjustRightInd w:val="0"/>
        <w:snapToGrid w:val="0"/>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3</w:t>
      </w:r>
      <w:r>
        <w:rPr>
          <w:rFonts w:hint="eastAsia" w:ascii="仿宋_GB2312" w:eastAsia="仿宋_GB2312"/>
          <w:sz w:val="24"/>
          <w:szCs w:val="24"/>
        </w:rPr>
        <w:t>.</w:t>
      </w:r>
      <w:r>
        <w:rPr>
          <w:rFonts w:hint="eastAsia" w:ascii="仿宋_GB2312" w:eastAsia="仿宋_GB2312" w:hAnsiTheme="minorHAnsi"/>
          <w:sz w:val="24"/>
          <w:szCs w:val="24"/>
        </w:rPr>
        <w:t>乙方必须保证对清洁剂或其他化学有害物质的操作、存储、贴标遵照相关法律法规的规定。</w:t>
      </w:r>
    </w:p>
    <w:p>
      <w:pPr>
        <w:adjustRightInd w:val="0"/>
        <w:snapToGrid w:val="0"/>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4</w:t>
      </w:r>
      <w:r>
        <w:rPr>
          <w:rFonts w:hint="eastAsia" w:ascii="仿宋_GB2312" w:eastAsia="仿宋_GB2312"/>
          <w:sz w:val="24"/>
          <w:szCs w:val="24"/>
        </w:rPr>
        <w:t>.</w:t>
      </w:r>
      <w:r>
        <w:rPr>
          <w:rFonts w:hint="eastAsia" w:ascii="仿宋_GB2312" w:eastAsia="仿宋_GB2312" w:hAnsiTheme="minorHAnsi"/>
          <w:sz w:val="24"/>
          <w:szCs w:val="24"/>
        </w:rPr>
        <w:t>乙方及乙方员工应遵守消防安全的规定。采取切实可行和适当的预防措施防止火灾，遵守政府及国家或政府（包括甲方）有关的法律法规、议事程序、许可及要求。</w:t>
      </w:r>
    </w:p>
    <w:p>
      <w:pPr>
        <w:adjustRightInd w:val="0"/>
        <w:snapToGrid w:val="0"/>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5</w:t>
      </w:r>
      <w:r>
        <w:rPr>
          <w:rFonts w:hint="eastAsia" w:ascii="仿宋_GB2312" w:eastAsia="仿宋_GB2312"/>
          <w:sz w:val="24"/>
          <w:szCs w:val="24"/>
        </w:rPr>
        <w:t>.</w:t>
      </w:r>
      <w:r>
        <w:rPr>
          <w:rFonts w:hint="eastAsia" w:ascii="仿宋_GB2312" w:eastAsia="仿宋_GB2312" w:hAnsiTheme="minorHAnsi"/>
          <w:sz w:val="24"/>
          <w:szCs w:val="24"/>
        </w:rPr>
        <w:t>乙方在合同期内不少于两次对本合同实施中相关安全工作进行评估，并依据评估结果提出持续改进方案，采取相应措施。相关报告提交甲方。</w:t>
      </w:r>
    </w:p>
    <w:p>
      <w:pPr>
        <w:adjustRightInd w:val="0"/>
        <w:snapToGrid w:val="0"/>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6</w:t>
      </w:r>
      <w:r>
        <w:rPr>
          <w:rFonts w:hint="eastAsia" w:ascii="仿宋_GB2312" w:eastAsia="仿宋_GB2312"/>
          <w:sz w:val="24"/>
          <w:szCs w:val="24"/>
        </w:rPr>
        <w:t>.</w:t>
      </w:r>
      <w:r>
        <w:rPr>
          <w:rFonts w:hint="eastAsia" w:ascii="仿宋_GB2312" w:eastAsia="仿宋_GB2312" w:hAnsiTheme="minorHAnsi"/>
          <w:sz w:val="24"/>
          <w:szCs w:val="24"/>
        </w:rPr>
        <w:t>对于乙方违反以上条款的行为，甲方将对乙方发整改通知要求限期整改，并扣除履约保证金1000元-5000元每次；重复（指发现第二次）发生，甲方有权终止合同。</w:t>
      </w:r>
    </w:p>
    <w:p>
      <w:pPr>
        <w:adjustRightInd w:val="0"/>
        <w:snapToGrid w:val="0"/>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7</w:t>
      </w:r>
      <w:r>
        <w:rPr>
          <w:rFonts w:hint="eastAsia" w:ascii="仿宋_GB2312" w:eastAsia="仿宋_GB2312"/>
          <w:sz w:val="24"/>
          <w:szCs w:val="24"/>
        </w:rPr>
        <w:t>.</w:t>
      </w:r>
      <w:r>
        <w:rPr>
          <w:rFonts w:hint="eastAsia" w:ascii="仿宋_GB2312" w:eastAsia="仿宋_GB2312" w:hAnsiTheme="minorHAnsi"/>
          <w:sz w:val="24"/>
          <w:szCs w:val="24"/>
        </w:rPr>
        <w:t>甲方每年与乙方签订外包合约单位安全责任书，并严格按照责任书要求规范管理。</w:t>
      </w:r>
    </w:p>
    <w:p>
      <w:pPr>
        <w:adjustRightInd w:val="0"/>
        <w:snapToGrid w:val="0"/>
        <w:spacing w:line="360" w:lineRule="auto"/>
        <w:rPr>
          <w:rFonts w:ascii="仿宋_GB2312" w:eastAsia="仿宋_GB2312" w:hAnsiTheme="minorHAnsi"/>
          <w:sz w:val="24"/>
          <w:szCs w:val="24"/>
        </w:rPr>
      </w:pPr>
      <w:r>
        <w:rPr>
          <w:rFonts w:hint="eastAsia" w:ascii="仿宋_GB2312" w:eastAsia="仿宋_GB2312" w:hAnsiTheme="minorHAnsi"/>
          <w:sz w:val="24"/>
          <w:szCs w:val="24"/>
        </w:rPr>
        <w:t xml:space="preserve">    8</w:t>
      </w:r>
      <w:r>
        <w:rPr>
          <w:rFonts w:hint="eastAsia" w:ascii="仿宋_GB2312" w:eastAsia="仿宋_GB2312"/>
          <w:sz w:val="24"/>
          <w:szCs w:val="24"/>
        </w:rPr>
        <w:t>,</w:t>
      </w:r>
      <w:r>
        <w:rPr>
          <w:rFonts w:hint="eastAsia" w:ascii="仿宋_GB2312" w:eastAsia="仿宋_GB2312" w:hAnsiTheme="minorHAnsi"/>
          <w:sz w:val="24"/>
          <w:szCs w:val="24"/>
        </w:rPr>
        <w:t>本协议自双方盖章之日起生效。</w:t>
      </w:r>
    </w:p>
    <w:p>
      <w:pPr>
        <w:adjustRightInd w:val="0"/>
        <w:snapToGrid w:val="0"/>
        <w:spacing w:line="360" w:lineRule="auto"/>
        <w:rPr>
          <w:rFonts w:ascii="仿宋_GB2312" w:eastAsia="仿宋_GB2312" w:hAnsiTheme="minorHAnsi"/>
          <w:sz w:val="24"/>
          <w:szCs w:val="24"/>
        </w:rPr>
      </w:pPr>
    </w:p>
    <w:p>
      <w:pPr>
        <w:adjustRightInd w:val="0"/>
        <w:snapToGrid w:val="0"/>
        <w:spacing w:line="360" w:lineRule="auto"/>
        <w:rPr>
          <w:rFonts w:ascii="仿宋_GB2312" w:eastAsia="仿宋_GB2312" w:hAnsiTheme="minorHAnsi"/>
          <w:sz w:val="24"/>
          <w:szCs w:val="24"/>
        </w:rPr>
      </w:pPr>
    </w:p>
    <w:p>
      <w:pPr>
        <w:adjustRightInd w:val="0"/>
        <w:snapToGrid w:val="0"/>
        <w:spacing w:line="360" w:lineRule="auto"/>
        <w:ind w:firstLine="480" w:firstLineChars="200"/>
        <w:rPr>
          <w:rFonts w:ascii="仿宋_GB2312" w:eastAsia="仿宋_GB2312" w:hAnsiTheme="minorHAnsi"/>
          <w:sz w:val="24"/>
          <w:szCs w:val="24"/>
        </w:rPr>
      </w:pPr>
      <w:r>
        <w:rPr>
          <w:rFonts w:hint="eastAsia" w:ascii="仿宋_GB2312" w:eastAsia="仿宋_GB2312" w:hAnsiTheme="minorHAnsi"/>
          <w:sz w:val="24"/>
          <w:szCs w:val="24"/>
        </w:rPr>
        <w:t>甲方：（盖章）                           乙方：（盖章）</w:t>
      </w:r>
    </w:p>
    <w:p>
      <w:pPr>
        <w:adjustRightInd w:val="0"/>
        <w:snapToGrid w:val="0"/>
        <w:spacing w:line="360" w:lineRule="auto"/>
        <w:rPr>
          <w:rFonts w:ascii="仿宋_GB2312" w:eastAsia="仿宋_GB2312" w:hAnsiTheme="minorHAnsi"/>
          <w:sz w:val="24"/>
          <w:szCs w:val="24"/>
        </w:rPr>
      </w:pPr>
    </w:p>
    <w:p>
      <w:pPr>
        <w:rPr>
          <w:rFonts w:ascii="宋体" w:hAnsi="宋体" w:cs="宋体"/>
          <w:b/>
          <w:sz w:val="22"/>
        </w:rPr>
      </w:pPr>
      <w:r>
        <w:rPr>
          <w:rFonts w:hint="eastAsia" w:ascii="宋体" w:hAnsi="宋体" w:cs="宋体"/>
          <w:b/>
          <w:sz w:val="22"/>
        </w:rPr>
        <w:br w:type="page"/>
      </w:r>
    </w:p>
    <w:p>
      <w:pPr>
        <w:spacing w:line="360" w:lineRule="auto"/>
        <w:jc w:val="left"/>
        <w:rPr>
          <w:rFonts w:ascii="仿宋_GB2312" w:eastAsia="仿宋_GB2312" w:hAnsiTheme="minorHAnsi"/>
          <w:sz w:val="24"/>
          <w:szCs w:val="24"/>
        </w:rPr>
      </w:pPr>
      <w:r>
        <w:rPr>
          <w:rFonts w:hint="eastAsia" w:ascii="仿宋_GB2312" w:eastAsia="仿宋_GB2312" w:hAnsiTheme="minorHAnsi"/>
          <w:sz w:val="24"/>
          <w:szCs w:val="24"/>
        </w:rPr>
        <w:t>附件6：</w:t>
      </w:r>
    </w:p>
    <w:p>
      <w:pPr>
        <w:adjustRightInd w:val="0"/>
        <w:snapToGrid w:val="0"/>
        <w:spacing w:line="360" w:lineRule="exact"/>
        <w:ind w:firstLine="281"/>
        <w:rPr>
          <w:rFonts w:ascii="宋体" w:hAnsi="宋体" w:cs="宋体"/>
          <w:b/>
          <w:sz w:val="22"/>
        </w:rPr>
      </w:pPr>
    </w:p>
    <w:p>
      <w:pPr>
        <w:adjustRightInd w:val="0"/>
        <w:snapToGrid w:val="0"/>
        <w:spacing w:line="360" w:lineRule="auto"/>
        <w:jc w:val="center"/>
        <w:rPr>
          <w:rFonts w:ascii="仿宋_GB2312" w:eastAsia="仿宋_GB2312" w:hAnsiTheme="minorHAnsi"/>
          <w:b/>
          <w:bCs/>
          <w:sz w:val="24"/>
          <w:szCs w:val="24"/>
        </w:rPr>
      </w:pPr>
      <w:r>
        <w:rPr>
          <w:rFonts w:hint="eastAsia" w:ascii="仿宋_GB2312" w:eastAsia="仿宋_GB2312" w:hAnsiTheme="minorHAnsi"/>
          <w:b/>
          <w:bCs/>
          <w:sz w:val="24"/>
          <w:szCs w:val="24"/>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rPr>
          <w:rFonts w:ascii="仿宋_GB2312" w:eastAsia="仿宋_GB2312" w:hAnsiTheme="minorHAnsi"/>
          <w:sz w:val="24"/>
          <w:szCs w:val="24"/>
        </w:rPr>
      </w:pPr>
      <w:r>
        <w:rPr>
          <w:rFonts w:hint="eastAsia" w:ascii="仿宋_GB2312" w:eastAsia="仿宋_GB2312" w:hAnsiTheme="minorHAnsi"/>
          <w:sz w:val="24"/>
          <w:szCs w:val="24"/>
        </w:rPr>
        <w:br w:type="page"/>
      </w:r>
    </w:p>
    <w:p>
      <w:pPr>
        <w:spacing w:line="360" w:lineRule="auto"/>
        <w:jc w:val="left"/>
        <w:rPr>
          <w:rFonts w:ascii="仿宋_GB2312" w:eastAsia="仿宋_GB2312" w:hAnsiTheme="minorHAnsi"/>
          <w:sz w:val="24"/>
          <w:szCs w:val="24"/>
        </w:rPr>
      </w:pPr>
      <w:r>
        <w:rPr>
          <w:rFonts w:hint="eastAsia" w:ascii="仿宋_GB2312" w:eastAsia="仿宋_GB2312" w:hAnsiTheme="minorHAnsi"/>
          <w:sz w:val="24"/>
          <w:szCs w:val="24"/>
        </w:rPr>
        <w:t>附件7：</w:t>
      </w:r>
    </w:p>
    <w:p>
      <w:pPr>
        <w:adjustRightInd w:val="0"/>
        <w:snapToGrid w:val="0"/>
        <w:spacing w:line="360" w:lineRule="auto"/>
        <w:jc w:val="center"/>
        <w:rPr>
          <w:rFonts w:ascii="仿宋_GB2312" w:eastAsia="仿宋_GB2312" w:hAnsiTheme="minorHAnsi"/>
          <w:b/>
          <w:bCs/>
          <w:sz w:val="24"/>
          <w:szCs w:val="24"/>
        </w:rPr>
      </w:pPr>
      <w:r>
        <w:rPr>
          <w:rFonts w:hint="eastAsia" w:ascii="仿宋_GB2312" w:eastAsia="仿宋_GB2312" w:hAnsiTheme="minorHAnsi"/>
          <w:b/>
          <w:bCs/>
          <w:sz w:val="24"/>
          <w:szCs w:val="24"/>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926" w:firstLineChars="1330"/>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41"/>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4"/>
        <w:spacing w:line="564" w:lineRule="exact"/>
        <w:ind w:right="57"/>
        <w:jc w:val="center"/>
        <w:rPr>
          <w:rStyle w:val="95"/>
          <w:b/>
          <w:bCs/>
          <w:sz w:val="40"/>
          <w:szCs w:val="40"/>
        </w:rPr>
      </w:pPr>
      <w:r>
        <w:rPr>
          <w:rFonts w:ascii="宋体" w:hAnsi="宋体" w:cs="宋体"/>
          <w:szCs w:val="21"/>
        </w:rPr>
        <w:br w:type="page"/>
      </w:r>
      <w:bookmarkStart w:id="31" w:name="_Toc19698501"/>
      <w:r>
        <w:rPr>
          <w:rFonts w:hint="eastAsia"/>
          <w:b w:val="0"/>
          <w:bCs w:val="0"/>
        </w:rPr>
        <w:t>第五章</w:t>
      </w:r>
      <w:r>
        <w:rPr>
          <w:b w:val="0"/>
          <w:bCs w:val="0"/>
        </w:rPr>
        <w:t xml:space="preserve">  </w:t>
      </w:r>
      <w:r>
        <w:rPr>
          <w:rFonts w:hint="eastAsia"/>
          <w:b w:val="0"/>
          <w:bCs w:val="0"/>
        </w:rPr>
        <w:t>用户需求书</w:t>
      </w:r>
      <w:bookmarkEnd w:id="31"/>
    </w:p>
    <w:p>
      <w:pPr>
        <w:widowControl/>
        <w:snapToGrid w:val="0"/>
        <w:spacing w:line="360" w:lineRule="auto"/>
        <w:jc w:val="left"/>
        <w:outlineLvl w:val="1"/>
        <w:rPr>
          <w:rFonts w:ascii="宋体" w:hAnsi="宋体" w:cs="宋体"/>
          <w:b/>
          <w:bCs/>
          <w:kern w:val="0"/>
          <w:sz w:val="22"/>
        </w:rPr>
      </w:pPr>
      <w:bookmarkStart w:id="32" w:name="_Toc19698503"/>
      <w:r>
        <w:rPr>
          <w:rFonts w:hint="eastAsia" w:ascii="宋体" w:hAnsi="宋体" w:cs="宋体"/>
          <w:b/>
          <w:bCs/>
          <w:kern w:val="0"/>
          <w:sz w:val="22"/>
        </w:rPr>
        <w:t>一、项目概况及总体要求</w:t>
      </w:r>
    </w:p>
    <w:p>
      <w:pPr>
        <w:adjustRightInd w:val="0"/>
        <w:snapToGrid w:val="0"/>
        <w:spacing w:line="360" w:lineRule="auto"/>
        <w:ind w:firstLine="440"/>
        <w:rPr>
          <w:rFonts w:ascii="宋体" w:hAnsi="宋体" w:cs="宋体"/>
          <w:color w:val="000000"/>
          <w:sz w:val="22"/>
        </w:rPr>
      </w:pPr>
      <w:r>
        <w:rPr>
          <w:rFonts w:hint="eastAsia" w:ascii="宋体" w:hAnsi="宋体" w:cs="宋体"/>
          <w:color w:val="000000"/>
          <w:sz w:val="22"/>
        </w:rPr>
        <w:t>1.1概述</w:t>
      </w:r>
    </w:p>
    <w:p>
      <w:pPr>
        <w:adjustRightInd w:val="0"/>
        <w:snapToGrid w:val="0"/>
        <w:spacing w:line="360" w:lineRule="auto"/>
        <w:ind w:firstLine="440"/>
        <w:rPr>
          <w:rFonts w:ascii="宋体" w:hAnsi="宋体" w:cs="宋体"/>
          <w:color w:val="000000"/>
          <w:sz w:val="22"/>
        </w:rPr>
      </w:pPr>
      <w:r>
        <w:rPr>
          <w:rFonts w:hint="eastAsia" w:ascii="宋体" w:hAnsi="宋体" w:cs="宋体"/>
          <w:color w:val="000000"/>
          <w:sz w:val="22"/>
        </w:rPr>
        <w:t>本章是招标文件的组成部分，内容包括杭州萧山国际机场航站楼环境景观绿化综合项目的基本技术规格、条款、资料及有关文件，投标人必须按照“投标文件格式”的内容和要求编制投标文件。</w:t>
      </w:r>
    </w:p>
    <w:p>
      <w:pPr>
        <w:adjustRightInd w:val="0"/>
        <w:snapToGrid w:val="0"/>
        <w:spacing w:line="360" w:lineRule="auto"/>
        <w:ind w:firstLine="440"/>
        <w:rPr>
          <w:rFonts w:ascii="宋体" w:hAnsi="宋体" w:cs="宋体"/>
          <w:b/>
          <w:bCs/>
          <w:color w:val="000000"/>
          <w:sz w:val="22"/>
        </w:rPr>
      </w:pPr>
      <w:r>
        <w:rPr>
          <w:rFonts w:hint="eastAsia" w:ascii="宋体" w:hAnsi="宋体" w:cs="宋体"/>
          <w:color w:val="000000"/>
          <w:sz w:val="22"/>
        </w:rPr>
        <w:t>1.2项目概况</w:t>
      </w:r>
    </w:p>
    <w:p>
      <w:pPr>
        <w:widowControl/>
        <w:spacing w:line="360" w:lineRule="auto"/>
        <w:ind w:firstLine="440" w:firstLineChars="200"/>
        <w:rPr>
          <w:rFonts w:ascii="宋体" w:hAnsi="宋体" w:cs="宋体"/>
          <w:kern w:val="0"/>
          <w:sz w:val="22"/>
        </w:rPr>
      </w:pPr>
      <w:r>
        <w:rPr>
          <w:rFonts w:hint="eastAsia" w:ascii="宋体" w:hAnsi="宋体" w:cs="宋体"/>
          <w:kern w:val="0"/>
          <w:sz w:val="22"/>
        </w:rPr>
        <w:t>航站楼绿化景观布置（供花器，花器是否招标人提供详见清单）、高架桥（上下）植物摆放、航站楼重点位置（含问询柜台、安检柜台等）高档时花摆放、航站楼固定花堆布置不少于8处、航站楼节假日花堆布置不少于11处（含五一、国庆、元旦、春节，其中每年的养护期五一、国庆、元旦周期按30日历天计算，春节按60日历天计算）和所涉及设施及附属物的保洁及维护。航站楼内机场公司重大活动(每年不少于2次)绿化布置、甲供花器养护服务、T1航站楼内庭院日常养护服务。具体详见招标文件和招标清单，资金来源为自筹100%。</w:t>
      </w:r>
    </w:p>
    <w:p>
      <w:pPr>
        <w:widowControl/>
        <w:adjustRightInd w:val="0"/>
        <w:snapToGrid w:val="0"/>
        <w:spacing w:line="360" w:lineRule="auto"/>
        <w:ind w:firstLine="440"/>
        <w:rPr>
          <w:rFonts w:ascii="宋体" w:hAnsi="宋体" w:cs="宋体"/>
          <w:kern w:val="0"/>
          <w:sz w:val="22"/>
        </w:rPr>
      </w:pPr>
      <w:r>
        <w:rPr>
          <w:rFonts w:hint="eastAsia" w:ascii="宋体" w:hAnsi="宋体" w:cs="宋体"/>
          <w:kern w:val="0"/>
          <w:sz w:val="22"/>
        </w:rPr>
        <w:t>1.2.1航站楼绿化景观花堆租摆分为固定花堆和节假日花堆（花堆点位按照招标人意愿进行调整）。固定花堆点位不少于8处，每个点位一年摆放7个月。节假日花堆点位不少于11处，每个点位一年摆放共5个月（含五一、国庆、元旦、春节，其中每年的养护期五一、国庆、元旦周期按30日历天计算，春节按60日历天计算）。</w:t>
      </w:r>
    </w:p>
    <w:p>
      <w:pPr>
        <w:widowControl/>
        <w:adjustRightInd w:val="0"/>
        <w:snapToGrid w:val="0"/>
        <w:spacing w:line="360" w:lineRule="auto"/>
        <w:ind w:firstLine="440"/>
        <w:rPr>
          <w:rFonts w:ascii="宋体" w:hAnsi="宋体" w:cs="宋体"/>
          <w:kern w:val="0"/>
          <w:sz w:val="22"/>
        </w:rPr>
      </w:pPr>
      <w:r>
        <w:rPr>
          <w:rFonts w:hint="eastAsia" w:ascii="宋体" w:hAnsi="宋体" w:cs="宋体"/>
          <w:kern w:val="0"/>
          <w:sz w:val="22"/>
        </w:rPr>
        <w:t>2.2.2 航站楼绿化景观花堆共11个，其中</w:t>
      </w:r>
      <w:r>
        <w:rPr>
          <w:rFonts w:ascii="宋体" w:hAnsi="宋体" w:cs="宋体"/>
          <w:kern w:val="0"/>
          <w:sz w:val="22"/>
        </w:rPr>
        <w:t>T3航站楼绿植墙花堆</w:t>
      </w:r>
      <w:r>
        <w:rPr>
          <w:rFonts w:hint="eastAsia" w:ascii="宋体" w:hAnsi="宋体" w:cs="宋体"/>
          <w:kern w:val="0"/>
          <w:sz w:val="22"/>
        </w:rPr>
        <w:t>、</w:t>
      </w:r>
      <w:r>
        <w:rPr>
          <w:rFonts w:ascii="宋体" w:hAnsi="宋体" w:cs="宋体"/>
          <w:kern w:val="0"/>
          <w:sz w:val="22"/>
        </w:rPr>
        <w:t>T3航站楼琉璃墙前花堆</w:t>
      </w:r>
      <w:r>
        <w:rPr>
          <w:rFonts w:hint="eastAsia" w:ascii="宋体" w:hAnsi="宋体" w:cs="宋体"/>
          <w:kern w:val="0"/>
          <w:sz w:val="22"/>
        </w:rPr>
        <w:t>、T3到达夹层</w:t>
      </w:r>
      <w:r>
        <w:rPr>
          <w:rFonts w:ascii="宋体" w:hAnsi="宋体" w:cs="宋体"/>
          <w:color w:val="000000"/>
          <w:kern w:val="0"/>
          <w:sz w:val="22"/>
          <w:lang w:bidi="ar"/>
        </w:rPr>
        <w:t>花堆</w:t>
      </w:r>
      <w:r>
        <w:rPr>
          <w:rFonts w:ascii="宋体" w:hAnsi="宋体" w:cs="宋体"/>
          <w:kern w:val="0"/>
          <w:sz w:val="22"/>
        </w:rPr>
        <w:t>单个面积不小于30平米，</w:t>
      </w:r>
      <w:r>
        <w:rPr>
          <w:rFonts w:hint="eastAsia" w:ascii="宋体" w:hAnsi="宋体" w:cs="宋体"/>
          <w:kern w:val="0"/>
          <w:sz w:val="22"/>
        </w:rPr>
        <w:t>其余8个花堆</w:t>
      </w:r>
      <w:r>
        <w:rPr>
          <w:rFonts w:ascii="宋体" w:hAnsi="宋体" w:cs="宋体"/>
          <w:kern w:val="0"/>
          <w:sz w:val="22"/>
        </w:rPr>
        <w:t>单个面积不小于</w:t>
      </w:r>
      <w:r>
        <w:rPr>
          <w:rFonts w:hint="eastAsia" w:ascii="宋体" w:hAnsi="宋体" w:cs="宋体"/>
          <w:kern w:val="0"/>
          <w:sz w:val="22"/>
        </w:rPr>
        <w:t>15</w:t>
      </w:r>
      <w:r>
        <w:rPr>
          <w:rFonts w:ascii="宋体" w:hAnsi="宋体" w:cs="宋体"/>
          <w:kern w:val="0"/>
          <w:sz w:val="22"/>
        </w:rPr>
        <w:t>平米</w:t>
      </w:r>
      <w:r>
        <w:rPr>
          <w:rFonts w:hint="eastAsia" w:ascii="宋体" w:hAnsi="宋体" w:cs="宋体"/>
          <w:kern w:val="0"/>
          <w:sz w:val="22"/>
        </w:rPr>
        <w:t>。</w:t>
      </w:r>
    </w:p>
    <w:p>
      <w:pPr>
        <w:widowControl/>
        <w:adjustRightInd w:val="0"/>
        <w:snapToGrid w:val="0"/>
        <w:spacing w:line="360" w:lineRule="auto"/>
        <w:ind w:firstLine="440"/>
        <w:rPr>
          <w:rFonts w:ascii="宋体" w:hAnsi="宋体" w:cs="宋体"/>
          <w:kern w:val="0"/>
          <w:sz w:val="22"/>
        </w:rPr>
      </w:pPr>
      <w:r>
        <w:rPr>
          <w:rFonts w:hint="eastAsia" w:ascii="宋体" w:hAnsi="宋体" w:cs="宋体"/>
          <w:kern w:val="0"/>
          <w:sz w:val="22"/>
        </w:rPr>
        <w:t xml:space="preserve">2.2.3 </w:t>
      </w:r>
      <w:r>
        <w:rPr>
          <w:rFonts w:ascii="宋体" w:hAnsi="宋体" w:cs="宋体"/>
          <w:kern w:val="0"/>
          <w:sz w:val="22"/>
        </w:rPr>
        <w:t>T1</w:t>
      </w:r>
      <w:r>
        <w:rPr>
          <w:rFonts w:hint="eastAsia" w:ascii="宋体" w:hAnsi="宋体" w:cs="宋体"/>
          <w:kern w:val="0"/>
          <w:sz w:val="22"/>
        </w:rPr>
        <w:t>航站楼内庭院日常养护服务。</w:t>
      </w:r>
      <w:r>
        <w:rPr>
          <w:rFonts w:ascii="宋体" w:hAnsi="宋体" w:cs="宋体"/>
          <w:kern w:val="0"/>
          <w:sz w:val="22"/>
        </w:rPr>
        <w:t>航站楼内庭院</w:t>
      </w:r>
      <w:r>
        <w:rPr>
          <w:rFonts w:hint="eastAsia" w:ascii="宋体" w:hAnsi="宋体" w:cs="宋体"/>
          <w:kern w:val="0"/>
          <w:sz w:val="22"/>
        </w:rPr>
        <w:t>长84米，宽24.28米，面积约2040平方米。鱼池内40CM的鱼不得少于30尾。保持庭院内植物茂盛。庭院内电器设备系统正常。</w:t>
      </w:r>
    </w:p>
    <w:p>
      <w:pPr>
        <w:widowControl/>
        <w:adjustRightInd w:val="0"/>
        <w:snapToGrid w:val="0"/>
        <w:spacing w:line="360" w:lineRule="auto"/>
        <w:ind w:firstLine="440"/>
        <w:rPr>
          <w:rFonts w:ascii="宋体" w:hAnsi="宋体" w:cs="宋体"/>
          <w:kern w:val="0"/>
          <w:sz w:val="22"/>
        </w:rPr>
      </w:pPr>
      <w:r>
        <w:rPr>
          <w:rFonts w:hint="eastAsia" w:ascii="宋体" w:hAnsi="宋体" w:cs="宋体"/>
          <w:kern w:val="0"/>
          <w:sz w:val="22"/>
        </w:rPr>
        <w:t>2.2.4 招标人花器</w:t>
      </w:r>
      <w:r>
        <w:rPr>
          <w:rFonts w:hint="eastAsia" w:ascii="宋体" w:hAnsi="宋体" w:cs="宋体"/>
          <w:color w:val="000000"/>
          <w:kern w:val="0"/>
          <w:sz w:val="22"/>
        </w:rPr>
        <w:t>数量共384个，其中球型花器254个，U型花器28个，长方形花器102个。</w:t>
      </w:r>
    </w:p>
    <w:p>
      <w:pPr>
        <w:widowControl/>
        <w:adjustRightInd w:val="0"/>
        <w:snapToGrid w:val="0"/>
        <w:spacing w:line="360" w:lineRule="auto"/>
        <w:ind w:firstLine="440"/>
        <w:rPr>
          <w:rFonts w:ascii="宋体" w:hAnsi="宋体" w:cs="宋体"/>
          <w:kern w:val="0"/>
          <w:sz w:val="22"/>
        </w:rPr>
      </w:pPr>
      <w:r>
        <w:rPr>
          <w:rFonts w:hint="eastAsia" w:ascii="宋体" w:hAnsi="宋体" w:cs="宋体"/>
          <w:kern w:val="0"/>
          <w:sz w:val="22"/>
        </w:rPr>
        <w:t>2.2.5 航站楼春节绿化布置包含节假日花堆及其它用于营造氛围的绿化布置。</w:t>
      </w:r>
    </w:p>
    <w:p>
      <w:pPr>
        <w:widowControl/>
        <w:adjustRightInd w:val="0"/>
        <w:snapToGrid w:val="0"/>
        <w:spacing w:line="360" w:lineRule="auto"/>
        <w:ind w:firstLine="440"/>
        <w:rPr>
          <w:rFonts w:ascii="宋体" w:hAnsi="宋体" w:eastAsiaTheme="minorEastAsia" w:cstheme="minorBidi"/>
          <w:sz w:val="24"/>
        </w:rPr>
      </w:pPr>
      <w:r>
        <w:rPr>
          <w:rFonts w:hint="eastAsia" w:ascii="宋体" w:hAnsi="宋体" w:cs="宋体"/>
          <w:kern w:val="0"/>
          <w:sz w:val="22"/>
        </w:rPr>
        <w:t>2.2.6 航站楼内机场公司重大活动绿化布置标准参考春节布置标准，具体区域位置以招标人需求为准。</w:t>
      </w:r>
    </w:p>
    <w:p>
      <w:pPr>
        <w:pStyle w:val="1853"/>
        <w:spacing w:line="360" w:lineRule="auto"/>
        <w:ind w:firstLine="440"/>
        <w:rPr>
          <w:rFonts w:ascii="宋体" w:hAnsi="宋体" w:cs="宋体"/>
          <w:color w:val="000000"/>
          <w:sz w:val="22"/>
        </w:rPr>
      </w:pPr>
      <w:r>
        <w:rPr>
          <w:rFonts w:hint="eastAsia" w:ascii="宋体" w:hAnsi="宋体" w:cs="宋体"/>
          <w:color w:val="000000"/>
          <w:sz w:val="22"/>
        </w:rPr>
        <w:t>1.3总体要求</w:t>
      </w:r>
    </w:p>
    <w:p>
      <w:pPr>
        <w:widowControl/>
        <w:spacing w:line="360" w:lineRule="auto"/>
        <w:ind w:firstLine="440" w:firstLineChars="200"/>
        <w:rPr>
          <w:rFonts w:ascii="宋体" w:hAnsi="宋体" w:cs="宋体"/>
          <w:kern w:val="0"/>
          <w:sz w:val="22"/>
        </w:rPr>
      </w:pPr>
      <w:r>
        <w:rPr>
          <w:rFonts w:hint="eastAsia" w:ascii="宋体" w:hAnsi="宋体" w:cs="宋体"/>
          <w:color w:val="000000"/>
          <w:kern w:val="0"/>
          <w:sz w:val="22"/>
        </w:rPr>
        <w:t>1.3.1此次项目内容包括但不限于：</w:t>
      </w:r>
      <w:r>
        <w:rPr>
          <w:rFonts w:hint="eastAsia" w:ascii="宋体" w:hAnsi="宋体" w:cs="宋体"/>
          <w:kern w:val="0"/>
          <w:sz w:val="22"/>
        </w:rPr>
        <w:t>绿植、花卉、花器、花架、设备（含抗台支撑）、设施维护、人工、补植费、水电费、巡视、施肥、农药、绿植、花卉、花器、花架、设备（含抗台支撑）、设施维护、人工、补植费、水电费、巡视、施肥、农药、航站楼重要节假日、短期绿化景观花堆布置及航站楼内机场公司重大活动绿化景观小品布置、航站楼区域盆花租摆及</w:t>
      </w:r>
      <w:r>
        <w:rPr>
          <w:rFonts w:hint="eastAsia" w:ascii="宋体" w:hAnsi="宋体" w:cs="宋体"/>
          <w:color w:val="000000"/>
          <w:kern w:val="0"/>
          <w:sz w:val="22"/>
        </w:rPr>
        <w:t>花堆设计、硬质景观造型设计制作等</w:t>
      </w:r>
      <w:r>
        <w:rPr>
          <w:rFonts w:hint="eastAsia" w:ascii="宋体" w:hAnsi="宋体" w:cs="宋体"/>
          <w:kern w:val="0"/>
          <w:sz w:val="22"/>
        </w:rPr>
        <w:t>其他相关费用。</w:t>
      </w:r>
    </w:p>
    <w:p>
      <w:pPr>
        <w:widowControl/>
        <w:spacing w:line="360" w:lineRule="auto"/>
        <w:ind w:firstLine="440" w:firstLineChars="200"/>
        <w:rPr>
          <w:rFonts w:ascii="宋体" w:hAnsi="宋体" w:cs="宋体"/>
          <w:color w:val="000000"/>
          <w:kern w:val="0"/>
          <w:sz w:val="22"/>
        </w:rPr>
      </w:pPr>
      <w:r>
        <w:rPr>
          <w:rFonts w:hint="eastAsia" w:ascii="宋体" w:hAnsi="宋体" w:cs="宋体"/>
          <w:color w:val="000000"/>
          <w:kern w:val="0"/>
          <w:sz w:val="22"/>
        </w:rPr>
        <w:t>1.3.2所有绿化景观花堆底部应放置不小于小品大小的防水防尘的专用隔离阻燃地毯，围栏设置材质为亚克力板材拼接。隔离地毯的购买和日常维护工作等均由投标人负责完成，该部分报价由投标人自行考虑在投标总价中，无需单列。</w:t>
      </w:r>
    </w:p>
    <w:p>
      <w:pPr>
        <w:widowControl/>
        <w:spacing w:line="360" w:lineRule="auto"/>
        <w:ind w:firstLine="440" w:firstLineChars="200"/>
        <w:rPr>
          <w:rFonts w:ascii="宋体" w:hAnsi="宋体" w:cs="宋体"/>
          <w:color w:val="000000"/>
          <w:kern w:val="0"/>
          <w:sz w:val="22"/>
        </w:rPr>
      </w:pPr>
      <w:r>
        <w:rPr>
          <w:rFonts w:hint="eastAsia" w:ascii="宋体" w:hAnsi="宋体" w:cs="宋体"/>
          <w:color w:val="000000"/>
          <w:kern w:val="0"/>
          <w:sz w:val="22"/>
        </w:rPr>
        <w:t>1.3.3 投标人需负责甲供花器的维护工作，包括清洁、保养、必要的金属漆油漆粉刷，该部分报价由投标人自行考虑在投标总价中，无需单列。</w:t>
      </w:r>
    </w:p>
    <w:p>
      <w:pPr>
        <w:widowControl/>
        <w:spacing w:line="360" w:lineRule="auto"/>
        <w:ind w:firstLine="440" w:firstLineChars="200"/>
        <w:rPr>
          <w:rFonts w:ascii="宋体" w:hAnsi="宋体" w:cs="宋体"/>
          <w:color w:val="000000"/>
          <w:kern w:val="0"/>
          <w:sz w:val="22"/>
        </w:rPr>
      </w:pPr>
      <w:r>
        <w:rPr>
          <w:rFonts w:hint="eastAsia" w:ascii="宋体" w:hAnsi="宋体" w:cs="宋体"/>
          <w:color w:val="000000"/>
          <w:kern w:val="0"/>
          <w:sz w:val="22"/>
        </w:rPr>
        <w:t>1.3.4招标文件中的高档花卉要求单盆市场价不低于300元人民币（以招标人询价为准）。</w:t>
      </w:r>
    </w:p>
    <w:p>
      <w:pPr>
        <w:widowControl/>
        <w:spacing w:line="360" w:lineRule="auto"/>
        <w:ind w:firstLine="440" w:firstLineChars="200"/>
        <w:rPr>
          <w:rFonts w:ascii="宋体" w:hAnsi="宋体" w:cs="宋体"/>
          <w:kern w:val="0"/>
          <w:sz w:val="22"/>
        </w:rPr>
      </w:pPr>
      <w:r>
        <w:rPr>
          <w:rFonts w:hint="eastAsia" w:ascii="宋体" w:hAnsi="宋体" w:cs="宋体"/>
          <w:color w:val="000000"/>
          <w:kern w:val="0"/>
          <w:sz w:val="22"/>
        </w:rPr>
        <w:t>1.3.5</w:t>
      </w:r>
      <w:r>
        <w:rPr>
          <w:rFonts w:hint="eastAsia" w:ascii="宋体" w:hAnsi="宋体" w:cs="宋体"/>
          <w:kern w:val="0"/>
          <w:sz w:val="22"/>
        </w:rPr>
        <w:t>投标人应提前做好各项预防工作，以免任何原因造成航站楼内所有盆花及设施被破坏；如有损坏的，投标人应予以原样恢复，费用综合考虑在本次招标中。如工人日常操作中因浇水引起的地毯污损，投标人应及时更换污损地毯，恢复原样。</w:t>
      </w:r>
    </w:p>
    <w:p>
      <w:pPr>
        <w:widowControl/>
        <w:spacing w:line="360" w:lineRule="auto"/>
        <w:ind w:firstLine="440" w:firstLineChars="200"/>
        <w:rPr>
          <w:rFonts w:ascii="宋体" w:hAnsi="宋体" w:cs="宋体"/>
          <w:kern w:val="0"/>
          <w:sz w:val="22"/>
        </w:rPr>
      </w:pPr>
      <w:r>
        <w:rPr>
          <w:rFonts w:hint="eastAsia" w:ascii="宋体" w:hAnsi="宋体" w:cs="宋体"/>
          <w:color w:val="000000"/>
          <w:kern w:val="0"/>
          <w:sz w:val="22"/>
        </w:rPr>
        <w:t>1.3.6</w:t>
      </w:r>
      <w:r>
        <w:rPr>
          <w:rFonts w:hint="eastAsia" w:ascii="宋体" w:hAnsi="宋体" w:cs="宋体"/>
          <w:kern w:val="0"/>
          <w:sz w:val="22"/>
        </w:rPr>
        <w:t>杭州萧山国际机场作为浙江省、杭州市的窗口单位，客流量比较大，会造成盆花摆放区域滞留各类垃圾和日常盆花更换过程中卫生保洁的需要，投标人须充分考虑活动所造成影响导致增加的保洁费用。招标范围区域内的保洁费用由投标人自行测算，招标时不单独计算，投标人综合考虑在投标报价中。</w:t>
      </w:r>
    </w:p>
    <w:p>
      <w:pPr>
        <w:widowControl/>
        <w:spacing w:line="360" w:lineRule="auto"/>
        <w:ind w:firstLine="440" w:firstLineChars="200"/>
        <w:rPr>
          <w:rFonts w:ascii="宋体" w:hAnsi="宋体" w:cs="宋体"/>
          <w:kern w:val="0"/>
          <w:sz w:val="22"/>
        </w:rPr>
      </w:pPr>
      <w:r>
        <w:rPr>
          <w:rFonts w:hint="eastAsia" w:ascii="宋体" w:hAnsi="宋体" w:cs="宋体"/>
          <w:color w:val="000000"/>
          <w:kern w:val="0"/>
          <w:sz w:val="22"/>
        </w:rPr>
        <w:t>1.3.7</w:t>
      </w:r>
      <w:r>
        <w:rPr>
          <w:rFonts w:hint="eastAsia" w:ascii="宋体" w:hAnsi="宋体" w:cs="宋体"/>
          <w:kern w:val="0"/>
          <w:sz w:val="22"/>
        </w:rPr>
        <w:t>投标人应充分考虑杭州萧山国际机场发生灾害性天气的可能性，如台风、雪灾等情况。因未做好灾害性天气预防措施导致损坏的，投标人应予以原样恢复。除抗台支撑单独报价外，其它灾害性天气预防措施费用不单独计算，投标人综合考虑在投标报价中。</w:t>
      </w:r>
    </w:p>
    <w:p>
      <w:pPr>
        <w:widowControl/>
        <w:spacing w:line="360" w:lineRule="auto"/>
        <w:ind w:firstLine="440" w:firstLineChars="200"/>
        <w:rPr>
          <w:rFonts w:ascii="宋体" w:hAnsi="宋体" w:cs="宋体"/>
          <w:kern w:val="0"/>
          <w:sz w:val="22"/>
        </w:rPr>
      </w:pPr>
      <w:r>
        <w:rPr>
          <w:rFonts w:hint="eastAsia" w:ascii="宋体" w:hAnsi="宋体" w:cs="宋体"/>
          <w:color w:val="000000"/>
          <w:kern w:val="0"/>
          <w:sz w:val="22"/>
        </w:rPr>
        <w:t>1.3.8</w:t>
      </w:r>
      <w:r>
        <w:rPr>
          <w:rFonts w:hint="eastAsia" w:ascii="宋体" w:hAnsi="宋体" w:cs="宋体"/>
          <w:kern w:val="0"/>
          <w:sz w:val="22"/>
        </w:rPr>
        <w:t>每年在台风季节前，投标人应完成杭州萧山国际机场航站楼室外盆花的搬移、支撑工作，台风过后盆花应及时复位，并拆除支撑，做好支撑材料的存放工作。抗台支撑报价应包含支撑的人工费、材料费、机械费、恢复费用等。</w:t>
      </w:r>
    </w:p>
    <w:p>
      <w:pPr>
        <w:widowControl/>
        <w:spacing w:line="360" w:lineRule="auto"/>
        <w:ind w:firstLine="440" w:firstLineChars="200"/>
        <w:rPr>
          <w:rFonts w:ascii="宋体" w:hAnsi="宋体" w:cs="宋体"/>
          <w:kern w:val="0"/>
          <w:sz w:val="22"/>
        </w:rPr>
      </w:pPr>
      <w:r>
        <w:rPr>
          <w:rFonts w:hint="eastAsia" w:ascii="宋体" w:hAnsi="宋体" w:cs="宋体"/>
          <w:color w:val="000000"/>
          <w:kern w:val="0"/>
          <w:sz w:val="22"/>
        </w:rPr>
        <w:t>1</w:t>
      </w:r>
      <w:r>
        <w:rPr>
          <w:rFonts w:hint="eastAsia" w:ascii="宋体" w:hAnsi="宋体" w:cs="宋体"/>
          <w:kern w:val="0"/>
          <w:sz w:val="22"/>
        </w:rPr>
        <w:t>.</w:t>
      </w:r>
      <w:r>
        <w:rPr>
          <w:rFonts w:hint="eastAsia" w:ascii="宋体" w:hAnsi="宋体" w:cs="宋体"/>
          <w:color w:val="000000"/>
          <w:kern w:val="0"/>
          <w:sz w:val="22"/>
        </w:rPr>
        <w:t>3.9</w:t>
      </w:r>
      <w:r>
        <w:rPr>
          <w:rFonts w:hint="eastAsia" w:ascii="宋体" w:hAnsi="宋体" w:cs="宋体"/>
          <w:kern w:val="0"/>
          <w:sz w:val="22"/>
        </w:rPr>
        <w:t>中标人未达到招标文件要求的，招标人有权没收中标人的履约保证金，并终止合同，中标人还应承担本项目合同约定的违约责任。</w:t>
      </w:r>
    </w:p>
    <w:p>
      <w:pPr>
        <w:widowControl/>
        <w:spacing w:line="360" w:lineRule="auto"/>
        <w:ind w:firstLine="440" w:firstLineChars="200"/>
        <w:rPr>
          <w:rFonts w:ascii="宋体" w:hAnsi="宋体" w:cs="宋体"/>
          <w:color w:val="000000"/>
          <w:kern w:val="0"/>
          <w:sz w:val="22"/>
        </w:rPr>
      </w:pPr>
      <w:r>
        <w:rPr>
          <w:rFonts w:hint="eastAsia" w:ascii="宋体" w:hAnsi="宋体" w:cs="宋体"/>
          <w:color w:val="000000"/>
          <w:kern w:val="0"/>
          <w:sz w:val="22"/>
        </w:rPr>
        <w:t>1.3.10投标人在整个航站楼环境景观绿化综合项目期间对项目安全负有全部责任，投标人必须严格按照杭州萧山国际机场安全要求进行作业，所聘用管理及养护人员需有专业资质，并经过投标人确认及安全培训；在项目过程中，由于投标人原因引起的人员伤害及财物损失（包括由租摆工作引起的第三方损失），均由投标人承担，投标人综合考虑在投标报价中。</w:t>
      </w:r>
    </w:p>
    <w:p>
      <w:pPr>
        <w:adjustRightInd w:val="0"/>
        <w:snapToGrid w:val="0"/>
        <w:spacing w:line="360" w:lineRule="auto"/>
        <w:ind w:firstLine="440"/>
        <w:rPr>
          <w:rFonts w:ascii="宋体" w:hAnsi="宋体" w:cs="宋体"/>
          <w:color w:val="000000"/>
          <w:sz w:val="22"/>
        </w:rPr>
      </w:pPr>
      <w:r>
        <w:rPr>
          <w:rFonts w:hint="eastAsia" w:ascii="宋体" w:hAnsi="宋体" w:cs="宋体"/>
          <w:color w:val="000000"/>
          <w:sz w:val="22"/>
        </w:rPr>
        <w:t>1.3.11本章中所列技术指标由主要技术指标和一般技术指标构成，对主要技术指标，投标人必须进行实质性应答，并列出具体参数。该类指标不得有漏报、偏差。如所报参数有偏差，须优于招标文件的参数。否则将承担被拒绝接受的风险。</w:t>
      </w:r>
    </w:p>
    <w:p>
      <w:pPr>
        <w:adjustRightInd w:val="0"/>
        <w:snapToGrid w:val="0"/>
        <w:spacing w:line="360" w:lineRule="auto"/>
        <w:ind w:firstLine="440"/>
        <w:rPr>
          <w:rFonts w:ascii="宋体" w:hAnsi="宋体" w:cs="宋体"/>
          <w:color w:val="000000"/>
          <w:sz w:val="22"/>
        </w:rPr>
      </w:pPr>
      <w:r>
        <w:rPr>
          <w:rFonts w:hint="eastAsia" w:ascii="宋体" w:hAnsi="宋体" w:cs="宋体"/>
          <w:color w:val="000000"/>
          <w:sz w:val="22"/>
        </w:rPr>
        <w:t>1.3.12投标人必须按招标文件内容和顺序逐项作出实质性应答。任何不按此要求的投标文件将承担被拒绝接受的风险。</w:t>
      </w:r>
    </w:p>
    <w:p>
      <w:pPr>
        <w:adjustRightInd w:val="0"/>
        <w:snapToGrid w:val="0"/>
        <w:spacing w:line="360" w:lineRule="auto"/>
        <w:ind w:firstLine="440"/>
        <w:rPr>
          <w:rFonts w:ascii="宋体" w:hAnsi="宋体" w:cs="宋体"/>
          <w:color w:val="000000"/>
          <w:sz w:val="22"/>
        </w:rPr>
      </w:pPr>
      <w:r>
        <w:rPr>
          <w:rFonts w:hint="eastAsia" w:ascii="宋体" w:hAnsi="宋体" w:cs="宋体"/>
          <w:color w:val="000000"/>
          <w:sz w:val="22"/>
        </w:rPr>
        <w:t>1.3.13所有应答均不得照抄、复制本章所列条款、指标和参数。非量化指标可以直接进行应答，量化指标必须应答具体数值，主要技术指标必须提供检测报告或样本。</w:t>
      </w:r>
    </w:p>
    <w:p>
      <w:pPr>
        <w:adjustRightInd w:val="0"/>
        <w:snapToGrid w:val="0"/>
        <w:spacing w:line="360" w:lineRule="auto"/>
        <w:ind w:firstLine="440"/>
        <w:rPr>
          <w:rFonts w:ascii="宋体" w:hAnsi="宋体" w:cs="宋体"/>
          <w:color w:val="000000"/>
          <w:sz w:val="22"/>
        </w:rPr>
      </w:pPr>
      <w:r>
        <w:rPr>
          <w:rFonts w:hint="eastAsia" w:ascii="宋体" w:hAnsi="宋体" w:cs="宋体"/>
          <w:color w:val="000000"/>
          <w:sz w:val="22"/>
        </w:rPr>
        <w:t>1.3.14合同期内，若植物质量及养护标准未达到招标人要求，则投标人需按照招标人要求重新摆放植物，且合同费用不予调整。</w:t>
      </w:r>
    </w:p>
    <w:p>
      <w:pPr>
        <w:adjustRightInd w:val="0"/>
        <w:snapToGrid w:val="0"/>
        <w:spacing w:line="360" w:lineRule="auto"/>
        <w:ind w:firstLine="440"/>
        <w:rPr>
          <w:rFonts w:ascii="宋体" w:hAnsi="宋体" w:cs="宋体"/>
          <w:kern w:val="0"/>
          <w:sz w:val="22"/>
        </w:rPr>
      </w:pPr>
      <w:r>
        <w:rPr>
          <w:rFonts w:hint="eastAsia" w:ascii="宋体" w:hAnsi="宋体" w:cs="宋体"/>
          <w:color w:val="000000"/>
          <w:sz w:val="22"/>
        </w:rPr>
        <w:t>1.3.15投标人应保证所提供的花堆设计图稿不会侵犯任何第三方的知识产权。如因投标人违反本条保证并导致招标人遭受损失的，投标人须向招标人承担赔偿责任。投标人保证所提交花堆的设计所有权完全属于投标人，且无任何抵押、查封等产权障碍或瑕疵。如因投标人提供花堆用品存在权属纠纷或担保物权的行使而导致招标人遭受任何损失的，投标人须就招标人遭受的损失承担赔偿责任。</w:t>
      </w:r>
    </w:p>
    <w:p>
      <w:pPr>
        <w:pStyle w:val="2"/>
        <w:spacing w:after="0" w:line="360" w:lineRule="auto"/>
        <w:ind w:firstLine="400" w:firstLineChars="200"/>
        <w:rPr>
          <w:sz w:val="20"/>
        </w:rPr>
      </w:pPr>
      <w:r>
        <w:rPr>
          <w:rFonts w:hint="eastAsia"/>
          <w:sz w:val="20"/>
        </w:rPr>
        <w:t>1.4</w:t>
      </w:r>
      <w:r>
        <w:rPr>
          <w:rFonts w:hint="eastAsia" w:ascii="宋体" w:hAnsi="宋体"/>
          <w:sz w:val="24"/>
        </w:rPr>
        <w:t>盆花摆放服务质量</w:t>
      </w:r>
    </w:p>
    <w:p>
      <w:pPr>
        <w:widowControl/>
        <w:spacing w:line="360" w:lineRule="auto"/>
        <w:ind w:firstLine="440" w:firstLineChars="200"/>
        <w:rPr>
          <w:rFonts w:ascii="宋体" w:hAnsi="宋体" w:cs="宋体"/>
          <w:kern w:val="0"/>
          <w:sz w:val="22"/>
        </w:rPr>
      </w:pPr>
      <w:r>
        <w:rPr>
          <w:rFonts w:hint="eastAsia" w:ascii="宋体" w:hAnsi="宋体" w:cs="宋体"/>
          <w:kern w:val="0"/>
          <w:sz w:val="22"/>
        </w:rPr>
        <w:t>1.4.1要求盆花摆放服务质量符合《航站楼绿化租摆技术规范要求》，且达到以下要求：</w:t>
      </w:r>
    </w:p>
    <w:p>
      <w:pPr>
        <w:widowControl/>
        <w:spacing w:line="360" w:lineRule="auto"/>
        <w:ind w:firstLine="440" w:firstLineChars="200"/>
        <w:rPr>
          <w:rFonts w:ascii="宋体" w:hAnsi="宋体" w:cs="宋体"/>
          <w:kern w:val="0"/>
          <w:sz w:val="22"/>
        </w:rPr>
      </w:pPr>
      <w:r>
        <w:rPr>
          <w:rFonts w:hint="eastAsia" w:ascii="宋体" w:hAnsi="宋体" w:cs="宋体"/>
          <w:kern w:val="0"/>
          <w:sz w:val="22"/>
        </w:rPr>
        <w:t>（1）植物和花卉的质量要求</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①植物质量要求：盆花（绿色植物）必须是正规渠道货源，造型优美、姿态美观、叶色浓绿、生长健壮、株型茂密、叶面光洁、无脱脚、无枯黄烂叶、无病虫害，且规格符合招标文件的要求。（应避免使用袖珍椰子、夏威夷、龙血树、螺纹铁等易枯黄、易失朝气的植物）</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②花卉质量要求：必须是正规渠道货源，造型优美、姿态美观、花色鲜艳、花型紧凑、叶色浓绿、生长健壮、株型茂密、叶面光洁、无脱脚、无枯黄烂叶、无病虫害，且规格符合招标文件的要求。</w:t>
      </w:r>
    </w:p>
    <w:p>
      <w:pPr>
        <w:widowControl/>
        <w:spacing w:line="360" w:lineRule="auto"/>
        <w:ind w:firstLine="440" w:firstLineChars="200"/>
        <w:rPr>
          <w:rFonts w:ascii="宋体" w:hAnsi="宋体" w:cs="宋体"/>
          <w:kern w:val="0"/>
          <w:sz w:val="22"/>
        </w:rPr>
      </w:pPr>
      <w:r>
        <w:rPr>
          <w:rFonts w:hint="eastAsia" w:ascii="宋体" w:hAnsi="宋体" w:cs="宋体"/>
          <w:kern w:val="0"/>
          <w:sz w:val="22"/>
        </w:rPr>
        <w:t>（2）进场验收要求</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①大门口选用树干高大挺拔，树冠规则宽大的罗汉松为主的造型，配以色泽艳丽四季盛开的草本花卉，既体现机场的庄重气派，又不失热烈盛情的迎客之意，给人以良好的第一印象。</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②公共区域宽敞明亮，选用高大茂盛的榕树和叶形舒展的散尾葵为主，配以层次错落的绿色植物，满目的绿色瞬间给人以回归自然的感觉，调节现代建筑的僵硬线条。</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③进入航站楼内前应确保盆花清洁、整齐，整体株型既清新、自然、优美而富有生气。</w:t>
      </w:r>
    </w:p>
    <w:p>
      <w:pPr>
        <w:widowControl/>
        <w:spacing w:line="360" w:lineRule="auto"/>
        <w:ind w:firstLine="440" w:firstLineChars="200"/>
        <w:rPr>
          <w:rFonts w:ascii="宋体" w:hAnsi="宋体" w:cs="宋体"/>
          <w:kern w:val="0"/>
          <w:sz w:val="22"/>
        </w:rPr>
      </w:pPr>
      <w:r>
        <w:rPr>
          <w:rFonts w:hint="eastAsia" w:ascii="宋体" w:hAnsi="宋体" w:cs="宋体"/>
          <w:kern w:val="0"/>
          <w:sz w:val="22"/>
        </w:rPr>
        <w:t>（3）植物和花卉套盆要求</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①投标人应制定盆花套盆采购和实施方案，并在投标文件中详细描述。</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②航站楼布置的花器形状、尺寸、颜色应与植株造型及周围环境相协调，所有植物同一区域必须统一配置同色套盆，高档盆景应配置高档套盆。</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③航站楼所有花器投入使用前，应进行密闭性防水测试，使用后每季度进行防水检测一次。</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④航站楼放置于地毯等软性装饰地面的绿植/花卉，应增加专用美观的隔水毯。</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⑤投标人应在投标报价中综合考虑设置绿化景观小品时制作花架及特色花盆的相应费用。</w:t>
      </w:r>
    </w:p>
    <w:p>
      <w:pPr>
        <w:widowControl/>
        <w:spacing w:line="360" w:lineRule="auto"/>
        <w:ind w:firstLine="440" w:firstLineChars="200"/>
        <w:rPr>
          <w:rFonts w:ascii="宋体" w:hAnsi="宋体" w:cs="宋体"/>
          <w:kern w:val="0"/>
          <w:sz w:val="22"/>
        </w:rPr>
      </w:pPr>
      <w:r>
        <w:rPr>
          <w:rFonts w:hint="eastAsia" w:ascii="宋体" w:hAnsi="宋体" w:cs="宋体"/>
          <w:kern w:val="0"/>
          <w:sz w:val="22"/>
        </w:rPr>
        <w:t>（4）相关人员作业规范要求</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①摆放作业人员必须保证各种花卉、植物外观整洁、郁郁葱葱（或色泽艳丽），盆内无杂草、杂叶、杂物，植物的套盆必须使用瓷盆和底盆。</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②摆放作业人员应保质保量地完成绿植摆放养护工作。接受监督和管理,服从工作安排，对于提出的意见、建议及时进行整改。</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③更换人员根据不同季节、节假日和需求情况及时提供、调整各种花卉的品种和布置情况（航站楼当季艳丽花卉不少于每季两种，航站楼各出入口造型和大盆最少一季一调整）。如遇机场公司有紧急（会议、布展等）需求时，应及时配合提供相应服务。同时根据实际要求不断改进工作流程或布置方案。</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④保证植物生长良好，各视角长势均衡，在光照充足区域，植物应每半月调整一次方向。如植物坏死，应及时无偿更换。</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⑤摆放、更换作业人员进行日常作业及转移搬运盆花（含花器）时，需配备专用的运输工具，不得占用航站楼行李手推车。</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⑥养护人员进行浇水作业时，应清除花器内及托盘中多余积水，并严格控制浇水量，同时清除花器外侧及地面水渍。</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⑦摆放作业人员需服从机场公司监管部门管理。</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⑧航站楼所有租摆植物中不得擅自添加标识标牌或使用含广告性质标识的花器。</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⑨中标人员在转移搬运周转盆花中不得将盆花（含花器）随意丢弃在航站楼内或航站楼外其他机场范围区域。</w:t>
      </w:r>
    </w:p>
    <w:p>
      <w:pPr>
        <w:widowControl/>
        <w:spacing w:line="360" w:lineRule="auto"/>
        <w:ind w:firstLine="440" w:firstLineChars="200"/>
        <w:rPr>
          <w:rFonts w:ascii="宋体" w:hAnsi="宋体" w:cs="宋体"/>
          <w:kern w:val="0"/>
          <w:sz w:val="22"/>
        </w:rPr>
      </w:pPr>
      <w:r>
        <w:rPr>
          <w:rFonts w:hint="eastAsia" w:ascii="宋体" w:hAnsi="宋体" w:cs="宋体"/>
          <w:kern w:val="0"/>
          <w:sz w:val="22"/>
        </w:rPr>
        <w:t>（5）周期性工作规范要求</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①养护作业人员应夏秋季每10天对航站楼内所有盆花底盘投放一次杀虫剂，每月对盆花底部进行杀虫剂喷洒；冬春季每月对航站楼内所有盆花底盘投放一次杀虫剂，每季对盆花底部进行杀虫剂喷洒；每月项目负责人对航站楼内蚊媒传染病传播媒介孳生地盆花底部和底盘进行专项检查。</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②养护作业人员应每季度对楼内所有植物进行一次全面清洗与修剪。</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③乙方应在每日9点前上报《航站楼绿化监管日交接单》和《日常问题落实单》。</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④绿化管理人员每日完成《航站楼重点区域（花钵、绿化景观小品）日常巡视检查单》。</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⑤在重要节假日及公司重大活动期间，应派专人巡查，包括植物的维护及垃圾清除。</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⑥每周对1-16号出入口外的防撞花钵进行彻底清理。</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⑦每周一9点前上报航站楼环境景观绿化综合项目一周工作情况，每月上报航站楼盆花更新台账和当月日常考核台账。</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⑧准时参加规定的周会、月会、季会、半年会及年会。</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⑨根据季度实际考核情况，每季度第二周第一天提交上季度应付款项的发票。</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⑩航站楼内盆花摆放点位新增或调整需在摆放提前汇报，经同意后方可操作。</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⑪每年12月1日前提交航站楼环境景观绿化综合项目年度工作报告。</w:t>
      </w:r>
    </w:p>
    <w:p>
      <w:pPr>
        <w:widowControl/>
        <w:spacing w:line="360" w:lineRule="auto"/>
        <w:ind w:firstLine="440" w:firstLineChars="200"/>
        <w:rPr>
          <w:rFonts w:ascii="宋体" w:hAnsi="宋体" w:cs="宋体"/>
          <w:kern w:val="0"/>
          <w:sz w:val="22"/>
        </w:rPr>
      </w:pPr>
      <w:r>
        <w:rPr>
          <w:rFonts w:hint="eastAsia" w:ascii="宋体" w:hAnsi="宋体" w:cs="宋体"/>
          <w:kern w:val="0"/>
          <w:sz w:val="22"/>
        </w:rPr>
        <w:t>⑫每月5日前上报员工人数、年龄、工资、保险等台账。</w:t>
      </w:r>
    </w:p>
    <w:p>
      <w:pPr>
        <w:widowControl/>
        <w:spacing w:line="360" w:lineRule="auto"/>
        <w:ind w:firstLine="440" w:firstLineChars="200"/>
        <w:rPr>
          <w:rFonts w:ascii="宋体" w:hAnsi="宋体" w:cs="宋体"/>
          <w:kern w:val="0"/>
          <w:sz w:val="22"/>
        </w:rPr>
      </w:pPr>
      <w:r>
        <w:rPr>
          <w:rFonts w:hint="eastAsia" w:ascii="宋体" w:hAnsi="宋体" w:cs="宋体"/>
          <w:kern w:val="0"/>
          <w:sz w:val="22"/>
        </w:rPr>
        <w:t>1.4.2现场人员要求</w:t>
      </w:r>
    </w:p>
    <w:p>
      <w:pPr>
        <w:widowControl/>
        <w:spacing w:line="360" w:lineRule="auto"/>
        <w:ind w:firstLine="440" w:firstLineChars="200"/>
        <w:rPr>
          <w:rFonts w:ascii="宋体" w:hAnsi="宋体" w:cs="宋体"/>
          <w:kern w:val="0"/>
          <w:sz w:val="22"/>
        </w:rPr>
      </w:pPr>
      <w:r>
        <w:rPr>
          <w:rFonts w:hint="eastAsia" w:ascii="宋体" w:hAnsi="宋体" w:cs="宋体"/>
          <w:kern w:val="0"/>
          <w:sz w:val="22"/>
        </w:rPr>
        <w:t>1.4.2.1现场管理人员要求</w:t>
      </w:r>
    </w:p>
    <w:p>
      <w:pPr>
        <w:widowControl/>
        <w:spacing w:line="360" w:lineRule="auto"/>
        <w:ind w:firstLine="440" w:firstLineChars="200"/>
        <w:rPr>
          <w:rFonts w:ascii="宋体" w:hAnsi="宋体" w:cs="宋体"/>
          <w:kern w:val="0"/>
          <w:sz w:val="22"/>
        </w:rPr>
      </w:pPr>
      <w:r>
        <w:rPr>
          <w:rFonts w:hint="eastAsia" w:ascii="宋体" w:hAnsi="宋体" w:cs="宋体"/>
          <w:kern w:val="0"/>
          <w:sz w:val="22"/>
        </w:rPr>
        <w:t>（1）项目管理班子必须按招标文件要求配备项目经理、项目技术负责人、盆花摆放管理人员不少于6人（包括分管负责人、技术员、植保员、质量员、安全员、仓库管理员等）等。所有管理人员必须经公安机关认定无犯罪记录。</w:t>
      </w:r>
    </w:p>
    <w:p>
      <w:pPr>
        <w:pStyle w:val="2"/>
        <w:spacing w:line="360" w:lineRule="auto"/>
        <w:ind w:firstLine="663" w:firstLineChars="300"/>
        <w:rPr>
          <w:rFonts w:ascii="宋体" w:hAnsi="宋体" w:cs="宋体"/>
          <w:b/>
          <w:kern w:val="0"/>
          <w:sz w:val="22"/>
          <w:szCs w:val="22"/>
        </w:rPr>
      </w:pPr>
      <w:r>
        <w:rPr>
          <w:rFonts w:hint="eastAsia" w:ascii="宋体" w:hAnsi="宋体" w:cs="宋体"/>
          <w:b/>
          <w:kern w:val="0"/>
          <w:sz w:val="22"/>
          <w:szCs w:val="22"/>
        </w:rPr>
        <w:t>★必须提供投标人企业为项目经理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ascii="宋体" w:hAnsi="宋体" w:cs="宋体"/>
          <w:b/>
          <w:kern w:val="0"/>
          <w:sz w:val="22"/>
          <w:szCs w:val="22"/>
        </w:rPr>
        <w:t>)。</w:t>
      </w:r>
    </w:p>
    <w:p>
      <w:pPr>
        <w:widowControl/>
        <w:spacing w:line="360" w:lineRule="auto"/>
        <w:ind w:firstLine="440" w:firstLineChars="200"/>
        <w:rPr>
          <w:rFonts w:ascii="宋体" w:hAnsi="宋体" w:cs="宋体"/>
          <w:kern w:val="0"/>
          <w:sz w:val="22"/>
        </w:rPr>
      </w:pPr>
      <w:r>
        <w:rPr>
          <w:rFonts w:hint="eastAsia" w:ascii="宋体" w:hAnsi="宋体" w:cs="宋体"/>
          <w:kern w:val="0"/>
          <w:sz w:val="22"/>
        </w:rPr>
        <w:t>（2）项目管理班子必须按招标文件要求到岗，项目管理班子每周到岗不少于5天，每天不少于8个小时。项目经理不得有其它在实施项目。招标人每月进行不定期抽查，发现每少一名管理人员，在当月租摆费用中扣除5000元。</w:t>
      </w:r>
    </w:p>
    <w:p>
      <w:pPr>
        <w:widowControl/>
        <w:spacing w:line="360" w:lineRule="auto"/>
        <w:ind w:firstLine="440" w:firstLineChars="200"/>
        <w:rPr>
          <w:rFonts w:ascii="宋体" w:hAnsi="宋体" w:cs="宋体"/>
          <w:kern w:val="0"/>
          <w:sz w:val="22"/>
        </w:rPr>
      </w:pPr>
      <w:r>
        <w:rPr>
          <w:rFonts w:hint="eastAsia" w:ascii="宋体" w:hAnsi="宋体" w:cs="宋体"/>
          <w:kern w:val="0"/>
          <w:sz w:val="22"/>
        </w:rPr>
        <w:t>1.4.2.2现场工人要求</w:t>
      </w:r>
    </w:p>
    <w:p>
      <w:pPr>
        <w:widowControl/>
        <w:spacing w:line="360" w:lineRule="auto"/>
        <w:ind w:firstLine="440" w:firstLineChars="200"/>
        <w:rPr>
          <w:rFonts w:ascii="宋体" w:hAnsi="宋体" w:cs="宋体"/>
          <w:kern w:val="0"/>
          <w:sz w:val="22"/>
        </w:rPr>
      </w:pPr>
      <w:r>
        <w:rPr>
          <w:rFonts w:hint="eastAsia" w:ascii="宋体" w:hAnsi="宋体" w:cs="宋体"/>
          <w:kern w:val="0"/>
          <w:sz w:val="22"/>
        </w:rPr>
        <w:t>（1）为确保盆花摆放的质量和进度，要求男性摆放作业工人年龄在60周岁以内、女性摆放作业工人年龄在50周岁以内，女性用工人数不得超过总用工人数的30%。承包单位必须与所有工人签订正式劳动合同，并缴纳相应保险，所有工人必须经公安机关认定无犯罪记录。</w:t>
      </w:r>
    </w:p>
    <w:p>
      <w:pPr>
        <w:widowControl/>
        <w:spacing w:line="360" w:lineRule="auto"/>
        <w:ind w:firstLine="440" w:firstLineChars="200"/>
        <w:rPr>
          <w:rFonts w:ascii="宋体" w:hAnsi="宋体" w:cs="宋体"/>
          <w:kern w:val="0"/>
          <w:sz w:val="22"/>
        </w:rPr>
      </w:pPr>
      <w:r>
        <w:rPr>
          <w:rFonts w:hint="eastAsia" w:ascii="宋体" w:hAnsi="宋体" w:cs="宋体"/>
          <w:kern w:val="0"/>
          <w:sz w:val="22"/>
        </w:rPr>
        <w:t>（2）航站楼环境景观绿化综合项目规定承包方每天到岗作业的摆放作业工人人数不得少于14人，月用工总数不得少于420工日，年用工总数不得少于5040工日。如遇节假日或雨雪天气不能到岗，必须经招标人同意。招标人每月进行不定期抽查，发现每少一名摆放作业工人，在当月租摆费用中扣除3500元。盆花摆放所有工作人员必须通过机场公安机关考核，取得控制区通行证。本项目摆放作业工人应为专职人员，不得兼职其它项目。</w:t>
      </w:r>
    </w:p>
    <w:p>
      <w:pPr>
        <w:widowControl/>
        <w:spacing w:line="360" w:lineRule="auto"/>
        <w:ind w:firstLine="440" w:firstLineChars="200"/>
        <w:rPr>
          <w:rFonts w:ascii="宋体" w:hAnsi="宋体" w:cs="宋体"/>
          <w:color w:val="000000"/>
          <w:kern w:val="0"/>
          <w:sz w:val="22"/>
        </w:rPr>
      </w:pPr>
      <w:r>
        <w:rPr>
          <w:rFonts w:hint="eastAsia" w:ascii="宋体" w:hAnsi="宋体" w:cs="宋体"/>
          <w:kern w:val="0"/>
          <w:sz w:val="22"/>
        </w:rPr>
        <w:t>（3）工作人员上岗时应统一着装，工作服样式应经招标人备案，列入考核办法中。</w:t>
      </w:r>
    </w:p>
    <w:p>
      <w:pPr>
        <w:pStyle w:val="2"/>
        <w:spacing w:after="0" w:line="360" w:lineRule="auto"/>
        <w:ind w:firstLine="400" w:firstLineChars="200"/>
        <w:rPr>
          <w:rFonts w:ascii="Times New Roman" w:hAnsi="Times New Roman"/>
          <w:color w:val="000000"/>
          <w:sz w:val="20"/>
        </w:rPr>
      </w:pPr>
      <w:r>
        <w:rPr>
          <w:rFonts w:hint="eastAsia" w:ascii="Times New Roman" w:hAnsi="Times New Roman"/>
          <w:color w:val="000000"/>
          <w:sz w:val="20"/>
        </w:rPr>
        <w:t>1.5绿化设施及主要养护内容</w:t>
      </w:r>
    </w:p>
    <w:p>
      <w:pPr>
        <w:spacing w:line="360" w:lineRule="auto"/>
        <w:ind w:firstLine="440" w:firstLineChars="200"/>
        <w:rPr>
          <w:rFonts w:ascii="宋体" w:hAnsi="宋体" w:cs="宋体"/>
          <w:color w:val="000000"/>
          <w:kern w:val="0"/>
          <w:sz w:val="22"/>
        </w:rPr>
      </w:pPr>
      <w:r>
        <w:rPr>
          <w:rFonts w:hint="eastAsia" w:ascii="宋体" w:hAnsi="宋体" w:cs="宋体"/>
          <w:color w:val="000000"/>
          <w:kern w:val="0"/>
          <w:sz w:val="22"/>
        </w:rPr>
        <w:t>绿化养护工作包含以下内容：浇水、人工或化学除杂草及防治、施肥、精细修剪、绿化垃圾清理、病虫害防治、夏季遮阳、冬季防寒、防风防汛（极端气候除外）、中耕松土、水电设备检查维修（材料费另计）、鱼池净化池定期清理等以及每年二次专家培训指导业务。</w:t>
      </w:r>
    </w:p>
    <w:p>
      <w:pPr>
        <w:spacing w:line="360" w:lineRule="auto"/>
        <w:ind w:firstLine="440" w:firstLineChars="200"/>
        <w:rPr>
          <w:rFonts w:ascii="宋体" w:hAnsi="宋体" w:cs="宋体"/>
          <w:color w:val="000000"/>
          <w:kern w:val="0"/>
          <w:sz w:val="22"/>
        </w:rPr>
      </w:pPr>
      <w:r>
        <w:rPr>
          <w:rFonts w:hint="eastAsia" w:ascii="宋体" w:hAnsi="宋体" w:cs="宋体"/>
          <w:kern w:val="0"/>
          <w:sz w:val="22"/>
        </w:rPr>
        <w:t>1.5.1</w:t>
      </w:r>
      <w:r>
        <w:rPr>
          <w:rFonts w:hint="eastAsia" w:ascii="宋体" w:hAnsi="宋体" w:cs="宋体"/>
          <w:color w:val="000000"/>
          <w:kern w:val="0"/>
          <w:sz w:val="22"/>
        </w:rPr>
        <w:t xml:space="preserve">修剪：根据乔木、造型树、球类、花灌木、地被等各类植物的生长特点、立地环境、景观要求，按照操作规程适时进行。及时清除乔木、大型灌木不定芽，促使生长形态美观。 </w:t>
      </w:r>
    </w:p>
    <w:p>
      <w:pPr>
        <w:spacing w:line="360" w:lineRule="auto"/>
        <w:ind w:firstLine="440" w:firstLineChars="200"/>
        <w:rPr>
          <w:rFonts w:ascii="宋体" w:hAnsi="宋体" w:cs="宋体"/>
          <w:color w:val="000000"/>
          <w:kern w:val="0"/>
          <w:sz w:val="22"/>
        </w:rPr>
      </w:pPr>
      <w:r>
        <w:rPr>
          <w:rFonts w:hint="eastAsia" w:ascii="宋体" w:hAnsi="宋体" w:cs="宋体"/>
          <w:kern w:val="0"/>
          <w:sz w:val="22"/>
        </w:rPr>
        <w:t>1.5.2</w:t>
      </w:r>
      <w:r>
        <w:rPr>
          <w:rFonts w:hint="eastAsia" w:ascii="宋体" w:hAnsi="宋体" w:cs="宋体"/>
          <w:color w:val="000000"/>
          <w:kern w:val="0"/>
          <w:sz w:val="22"/>
        </w:rPr>
        <w:t>施肥：根据各类植物的生长特点及植物对肥料的需要，适时适量进行施肥，以保持各类植物的生长旺盛达到一定景观效果。</w:t>
      </w:r>
    </w:p>
    <w:p>
      <w:pPr>
        <w:spacing w:line="360" w:lineRule="auto"/>
        <w:ind w:firstLine="440" w:firstLineChars="200"/>
        <w:rPr>
          <w:rFonts w:ascii="宋体" w:hAnsi="宋体" w:cs="宋体"/>
          <w:color w:val="000000"/>
          <w:kern w:val="0"/>
          <w:sz w:val="22"/>
        </w:rPr>
      </w:pPr>
      <w:r>
        <w:rPr>
          <w:rFonts w:hint="eastAsia" w:ascii="宋体" w:hAnsi="宋体" w:cs="宋体"/>
          <w:kern w:val="0"/>
          <w:sz w:val="22"/>
        </w:rPr>
        <w:t>1.5.3</w:t>
      </w:r>
      <w:r>
        <w:rPr>
          <w:rFonts w:hint="eastAsia" w:ascii="宋体" w:hAnsi="宋体" w:cs="宋体"/>
          <w:color w:val="000000"/>
          <w:kern w:val="0"/>
          <w:sz w:val="22"/>
        </w:rPr>
        <w:t>除草及浇水：各类绿地、树穴、绿带要结合松土及时清理各种杂草，做好杂草防治工作并在养护作业当天及时浇水。</w:t>
      </w:r>
    </w:p>
    <w:p>
      <w:pPr>
        <w:spacing w:line="360" w:lineRule="auto"/>
        <w:ind w:firstLine="440" w:firstLineChars="200"/>
        <w:rPr>
          <w:rFonts w:ascii="宋体" w:hAnsi="宋体" w:cs="宋体"/>
          <w:color w:val="000000"/>
          <w:kern w:val="0"/>
          <w:sz w:val="22"/>
        </w:rPr>
      </w:pPr>
      <w:r>
        <w:rPr>
          <w:rFonts w:hint="eastAsia" w:ascii="宋体" w:hAnsi="宋体" w:cs="宋体"/>
          <w:kern w:val="0"/>
          <w:sz w:val="22"/>
        </w:rPr>
        <w:t>1.5.4</w:t>
      </w:r>
      <w:r>
        <w:rPr>
          <w:rFonts w:hint="eastAsia" w:ascii="宋体" w:hAnsi="宋体" w:cs="宋体"/>
          <w:color w:val="000000"/>
          <w:kern w:val="0"/>
          <w:sz w:val="22"/>
        </w:rPr>
        <w:t>病虫害防治：根据各类植物的病虫害特性及时做好预测预报，采取措施防治。冬季做好树木涂白防冻和冬季整形修剪工作。</w:t>
      </w:r>
    </w:p>
    <w:p>
      <w:pPr>
        <w:spacing w:line="360" w:lineRule="auto"/>
        <w:ind w:firstLine="440" w:firstLineChars="200"/>
        <w:rPr>
          <w:rFonts w:ascii="宋体" w:hAnsi="宋体" w:cs="宋体"/>
          <w:color w:val="000000"/>
          <w:kern w:val="0"/>
          <w:sz w:val="22"/>
        </w:rPr>
      </w:pPr>
      <w:r>
        <w:rPr>
          <w:rFonts w:hint="eastAsia" w:ascii="宋体" w:hAnsi="宋体" w:cs="宋体"/>
          <w:kern w:val="0"/>
          <w:sz w:val="22"/>
        </w:rPr>
        <w:t>1.5.5</w:t>
      </w:r>
      <w:r>
        <w:rPr>
          <w:rFonts w:hint="eastAsia" w:ascii="宋体" w:hAnsi="宋体" w:cs="宋体"/>
          <w:color w:val="000000"/>
          <w:kern w:val="0"/>
          <w:sz w:val="22"/>
        </w:rPr>
        <w:t xml:space="preserve">抗台、抗涝：台汛期间要做好加固、排涝抢险工作，防止植物受损。 </w:t>
      </w:r>
    </w:p>
    <w:p>
      <w:pPr>
        <w:spacing w:line="360" w:lineRule="auto"/>
        <w:ind w:firstLine="440" w:firstLineChars="200"/>
        <w:rPr>
          <w:rFonts w:ascii="宋体" w:hAnsi="宋体" w:cs="宋体"/>
          <w:color w:val="000000"/>
          <w:kern w:val="0"/>
          <w:sz w:val="22"/>
        </w:rPr>
      </w:pPr>
      <w:r>
        <w:rPr>
          <w:rFonts w:hint="eastAsia" w:ascii="宋体" w:hAnsi="宋体" w:cs="宋体"/>
          <w:kern w:val="0"/>
          <w:sz w:val="22"/>
        </w:rPr>
        <w:t>1.5.6</w:t>
      </w:r>
      <w:r>
        <w:rPr>
          <w:rFonts w:hint="eastAsia" w:ascii="宋体" w:hAnsi="宋体" w:cs="宋体"/>
          <w:color w:val="000000"/>
          <w:kern w:val="0"/>
          <w:sz w:val="22"/>
        </w:rPr>
        <w:t>内庭院灌溉系统、鱼池水循环净化系统、景观照明系统一年至少两次检测维修（维修材料费另计）。</w:t>
      </w:r>
    </w:p>
    <w:p>
      <w:pPr>
        <w:widowControl/>
        <w:spacing w:line="360" w:lineRule="auto"/>
        <w:ind w:firstLine="440"/>
        <w:rPr>
          <w:rFonts w:ascii="宋体" w:hAnsi="宋体" w:cs="宋体"/>
          <w:kern w:val="0"/>
          <w:sz w:val="22"/>
        </w:rPr>
      </w:pPr>
      <w:r>
        <w:rPr>
          <w:rFonts w:hint="eastAsia" w:ascii="宋体" w:hAnsi="宋体" w:cs="宋体"/>
          <w:kern w:val="0"/>
          <w:sz w:val="22"/>
        </w:rPr>
        <w:t>1.5.7</w:t>
      </w:r>
      <w:r>
        <w:rPr>
          <w:rFonts w:hint="eastAsia" w:ascii="宋体" w:hAnsi="宋体" w:cs="宋体"/>
          <w:color w:val="000000"/>
          <w:kern w:val="0"/>
          <w:sz w:val="22"/>
        </w:rPr>
        <w:t>鱼池及净化池一年至少四次清理。</w:t>
      </w:r>
    </w:p>
    <w:p>
      <w:pPr>
        <w:widowControl/>
        <w:spacing w:line="360" w:lineRule="auto"/>
        <w:ind w:firstLine="440"/>
        <w:rPr>
          <w:rFonts w:ascii="宋体" w:hAnsi="宋体" w:cs="宋体"/>
          <w:kern w:val="0"/>
          <w:sz w:val="22"/>
        </w:rPr>
      </w:pPr>
      <w:r>
        <w:rPr>
          <w:rFonts w:hint="eastAsia" w:ascii="宋体" w:hAnsi="宋体" w:cs="宋体"/>
          <w:kern w:val="0"/>
          <w:sz w:val="22"/>
        </w:rPr>
        <w:t>1.5.8鱼池内40CM的鱼不得少于30尾。</w:t>
      </w:r>
    </w:p>
    <w:p>
      <w:pPr>
        <w:widowControl/>
        <w:spacing w:line="360" w:lineRule="auto"/>
        <w:ind w:firstLine="440"/>
        <w:rPr>
          <w:rFonts w:ascii="宋体" w:hAnsi="宋体" w:cs="宋体"/>
          <w:kern w:val="0"/>
          <w:sz w:val="22"/>
        </w:rPr>
      </w:pPr>
      <w:r>
        <w:rPr>
          <w:rFonts w:hint="eastAsia" w:ascii="宋体" w:hAnsi="宋体" w:cs="宋体"/>
          <w:kern w:val="0"/>
          <w:sz w:val="22"/>
        </w:rPr>
        <w:t>1.5.9 月度养护要求：</w:t>
      </w:r>
    </w:p>
    <w:p>
      <w:pPr>
        <w:widowControl/>
        <w:spacing w:line="360" w:lineRule="auto"/>
        <w:ind w:firstLine="440"/>
        <w:rPr>
          <w:rFonts w:ascii="宋体" w:hAnsi="宋体" w:cs="宋体"/>
          <w:kern w:val="0"/>
          <w:sz w:val="22"/>
          <w:lang w:bidi="en-US"/>
        </w:rPr>
      </w:pPr>
      <w:r>
        <w:rPr>
          <w:rFonts w:hint="eastAsia" w:ascii="宋体" w:hAnsi="宋体" w:cs="宋体"/>
          <w:kern w:val="0"/>
          <w:sz w:val="22"/>
          <w:lang w:bidi="en-US"/>
        </w:rPr>
        <w:t>一月：常规养护（落叶杂草清理，喷灌检查，水池及净化池清理，草坪修剪）；冬季低温，防寒处理：美人蕉修剪，芭蕉修剪，缠保护膜；关闭喷灌，浇防冻水；</w:t>
      </w:r>
    </w:p>
    <w:p>
      <w:pPr>
        <w:widowControl/>
        <w:spacing w:line="360" w:lineRule="auto"/>
        <w:ind w:firstLine="440"/>
        <w:rPr>
          <w:rFonts w:ascii="宋体" w:hAnsi="宋体" w:cs="宋体"/>
          <w:kern w:val="0"/>
          <w:sz w:val="22"/>
          <w:lang w:bidi="en-US"/>
        </w:rPr>
      </w:pPr>
      <w:r>
        <w:rPr>
          <w:rFonts w:hint="eastAsia" w:ascii="宋体" w:hAnsi="宋体" w:cs="宋体"/>
          <w:kern w:val="0"/>
          <w:sz w:val="22"/>
          <w:lang w:bidi="en-US"/>
        </w:rPr>
        <w:t>二月：常规养护（落叶杂草清理，喷灌检查，水池及净化池清理，草坪修剪）；</w:t>
      </w:r>
    </w:p>
    <w:p>
      <w:pPr>
        <w:widowControl/>
        <w:spacing w:line="360" w:lineRule="auto"/>
        <w:ind w:firstLine="440"/>
        <w:rPr>
          <w:rFonts w:ascii="宋体" w:hAnsi="宋体" w:cs="宋体"/>
          <w:kern w:val="0"/>
          <w:sz w:val="22"/>
          <w:lang w:bidi="en-US"/>
        </w:rPr>
      </w:pPr>
      <w:r>
        <w:rPr>
          <w:rFonts w:hint="eastAsia" w:ascii="宋体" w:hAnsi="宋体" w:cs="宋体"/>
          <w:kern w:val="0"/>
          <w:sz w:val="22"/>
          <w:lang w:bidi="en-US"/>
        </w:rPr>
        <w:t>三月：常规养护（落叶杂草清理，喷灌检查，水池及净化池清理，草坪修剪），全部植物整体杀菌（多菌灵（江苏省江阴市福达农化有限公司、可湿性粉剂）800倍液），草坪除草剂（二甲四氯钠盐（江苏剑谷化工有限公司、水剂）50倍液）；</w:t>
      </w:r>
    </w:p>
    <w:p>
      <w:pPr>
        <w:widowControl/>
        <w:spacing w:line="360" w:lineRule="auto"/>
        <w:ind w:firstLine="440"/>
        <w:rPr>
          <w:rFonts w:ascii="宋体" w:hAnsi="宋体" w:cs="宋体"/>
          <w:kern w:val="0"/>
          <w:sz w:val="22"/>
          <w:lang w:bidi="en-US"/>
        </w:rPr>
      </w:pPr>
      <w:r>
        <w:rPr>
          <w:rFonts w:hint="eastAsia" w:ascii="宋体" w:hAnsi="宋体" w:cs="宋体"/>
          <w:kern w:val="0"/>
          <w:sz w:val="22"/>
          <w:lang w:bidi="en-US"/>
        </w:rPr>
        <w:t>四月：常规养护（落叶杂草清理，喷灌检查，水池及净化池清理，草坪修剪）；净化池全面清理，植物病虫害防治：防治杜鹃的网蝽危害{顺式氯氰菊酯（上海生农生化制品股份有限公司、水剂）550倍液}，喷雪花，大花六道木等蚜虫危害{吡虫啉（宁波三江益农化学有限公司、水分散粒剂）550倍液}（根据需要可适量掺加杀菌剂）；</w:t>
      </w:r>
    </w:p>
    <w:p>
      <w:pPr>
        <w:widowControl/>
        <w:spacing w:line="360" w:lineRule="auto"/>
        <w:ind w:firstLine="440"/>
        <w:rPr>
          <w:rFonts w:ascii="宋体" w:hAnsi="宋体" w:cs="宋体"/>
          <w:kern w:val="0"/>
          <w:sz w:val="22"/>
          <w:lang w:bidi="en-US"/>
        </w:rPr>
      </w:pPr>
      <w:r>
        <w:rPr>
          <w:rFonts w:hint="eastAsia" w:ascii="宋体" w:hAnsi="宋体" w:cs="宋体"/>
          <w:kern w:val="0"/>
          <w:sz w:val="22"/>
          <w:lang w:bidi="en-US"/>
        </w:rPr>
        <w:t>五月：常规养护（落叶杂草清理，喷灌检查，水池及净化池清理，草坪修剪），假山水池清理，大水池池壁清理 ，乔灌木修剪，植物补水，夏季高温，水池水藻苔藓长势很快，需要定期清理；</w:t>
      </w:r>
    </w:p>
    <w:p>
      <w:pPr>
        <w:widowControl/>
        <w:spacing w:line="360" w:lineRule="auto"/>
        <w:ind w:firstLine="440"/>
        <w:rPr>
          <w:rFonts w:ascii="宋体" w:hAnsi="宋体" w:cs="宋体"/>
          <w:kern w:val="0"/>
          <w:sz w:val="22"/>
          <w:lang w:bidi="en-US"/>
        </w:rPr>
      </w:pPr>
      <w:r>
        <w:rPr>
          <w:rFonts w:hint="eastAsia" w:ascii="宋体" w:hAnsi="宋体" w:cs="宋体"/>
          <w:kern w:val="0"/>
          <w:sz w:val="22"/>
          <w:lang w:bidi="en-US"/>
        </w:rPr>
        <w:t>六月：常规养护（（落叶杂草清理，喷灌检查，水池及净化池清理，草坪修剪），灌木修剪，植物补水，八仙花残花修剪（八仙花残花及时修剪，可以有效节省养分，促进再次开花）；</w:t>
      </w:r>
    </w:p>
    <w:p>
      <w:pPr>
        <w:widowControl/>
        <w:spacing w:line="360" w:lineRule="auto"/>
        <w:ind w:firstLine="440"/>
        <w:rPr>
          <w:rFonts w:ascii="宋体" w:hAnsi="宋体" w:cs="宋体"/>
          <w:kern w:val="0"/>
          <w:sz w:val="22"/>
          <w:lang w:bidi="en-US"/>
        </w:rPr>
      </w:pPr>
      <w:r>
        <w:rPr>
          <w:rFonts w:hint="eastAsia" w:ascii="宋体" w:hAnsi="宋体" w:cs="宋体"/>
          <w:kern w:val="0"/>
          <w:sz w:val="22"/>
          <w:lang w:bidi="en-US"/>
        </w:rPr>
        <w:t>七月：常规养护（落叶杂草清理，喷灌检查，水池及净化池清理，草坪修剪），灌木修剪（造型苗），植物补水；</w:t>
      </w:r>
    </w:p>
    <w:p>
      <w:pPr>
        <w:widowControl/>
        <w:spacing w:line="360" w:lineRule="auto"/>
        <w:ind w:firstLine="440"/>
        <w:rPr>
          <w:rFonts w:ascii="宋体" w:hAnsi="宋体" w:cs="宋体"/>
          <w:kern w:val="0"/>
          <w:sz w:val="22"/>
          <w:lang w:bidi="en-US"/>
        </w:rPr>
      </w:pPr>
      <w:r>
        <w:rPr>
          <w:rFonts w:hint="eastAsia" w:ascii="宋体" w:hAnsi="宋体" w:cs="宋体"/>
          <w:kern w:val="0"/>
          <w:sz w:val="22"/>
          <w:lang w:bidi="en-US"/>
        </w:rPr>
        <w:t>八月：常规养护（落叶杂草清理，喷灌检查，水池及净化池清理，草坪修剪），大树支撑检查，植物补水，草坪除草剂（二甲四氯钠盐（江苏剑谷化工有限公司、水剂）50倍液）；</w:t>
      </w:r>
    </w:p>
    <w:p>
      <w:pPr>
        <w:widowControl/>
        <w:spacing w:line="360" w:lineRule="auto"/>
        <w:ind w:firstLine="440"/>
        <w:rPr>
          <w:rFonts w:ascii="宋体" w:hAnsi="宋体" w:cs="宋体"/>
          <w:kern w:val="0"/>
          <w:sz w:val="22"/>
          <w:lang w:bidi="en-US"/>
        </w:rPr>
      </w:pPr>
      <w:r>
        <w:rPr>
          <w:rFonts w:hint="eastAsia" w:ascii="宋体" w:hAnsi="宋体" w:cs="宋体"/>
          <w:kern w:val="0"/>
          <w:sz w:val="22"/>
          <w:lang w:bidi="en-US"/>
        </w:rPr>
        <w:t>九月：常规养护（（落叶杂草清理，喷灌检查，水池及净化池清理，草坪修剪），大树蚧壳虫防治（噻虫-高氯氟（东莞市瑞德丰生科技有限公司、水剂）800倍液加毒死蜱（江苏苏州佳辉化工有限公司、水剂）320倍液），植物补水，播种黑麦草（内庭院比较阴，黑麦草可以9-10月份播种）；</w:t>
      </w:r>
    </w:p>
    <w:p>
      <w:pPr>
        <w:widowControl/>
        <w:spacing w:line="360" w:lineRule="auto"/>
        <w:ind w:firstLine="440"/>
        <w:rPr>
          <w:rFonts w:ascii="宋体" w:hAnsi="宋体" w:cs="宋体"/>
          <w:kern w:val="0"/>
          <w:sz w:val="22"/>
          <w:lang w:bidi="en-US"/>
        </w:rPr>
      </w:pPr>
      <w:r>
        <w:rPr>
          <w:rFonts w:hint="eastAsia" w:ascii="宋体" w:hAnsi="宋体" w:cs="宋体"/>
          <w:kern w:val="0"/>
          <w:sz w:val="22"/>
          <w:lang w:bidi="en-US"/>
        </w:rPr>
        <w:t>十月：常规养护（落叶杂草清理，喷灌检查，水池及净化池清理，草坪修剪），植物补水，补播黑麦草；</w:t>
      </w:r>
    </w:p>
    <w:p>
      <w:pPr>
        <w:widowControl/>
        <w:spacing w:line="360" w:lineRule="auto"/>
        <w:ind w:firstLine="440"/>
        <w:rPr>
          <w:rFonts w:ascii="宋体" w:hAnsi="宋体" w:cs="宋体"/>
          <w:kern w:val="0"/>
          <w:sz w:val="22"/>
          <w:lang w:bidi="en-US"/>
        </w:rPr>
      </w:pPr>
      <w:r>
        <w:rPr>
          <w:rFonts w:hint="eastAsia" w:ascii="宋体" w:hAnsi="宋体" w:cs="宋体"/>
          <w:kern w:val="0"/>
          <w:sz w:val="22"/>
          <w:lang w:bidi="en-US"/>
        </w:rPr>
        <w:t>十一月：常规养护（落叶杂草清理，喷灌检查，水池及净化池清理，草坪修剪），植物补水（秋季黑麦草长势很快，定期修剪）；</w:t>
      </w:r>
    </w:p>
    <w:p>
      <w:pPr>
        <w:widowControl/>
        <w:spacing w:line="360" w:lineRule="auto"/>
        <w:ind w:firstLine="440"/>
        <w:rPr>
          <w:rFonts w:ascii="Times New Roman" w:hAnsi="Times New Roman"/>
          <w:color w:val="000000"/>
          <w:sz w:val="20"/>
        </w:rPr>
      </w:pPr>
      <w:r>
        <w:rPr>
          <w:rFonts w:hint="eastAsia" w:ascii="宋体" w:hAnsi="宋体" w:cs="宋体"/>
          <w:kern w:val="0"/>
          <w:sz w:val="22"/>
          <w:lang w:bidi="en-US"/>
        </w:rPr>
        <w:t>十二月：常规养护（落叶杂草清理，喷灌检查，水池及净化池清理，草坪修剪），大树涂白（冬季病虫害防治以及树干保温），大树冬季修剪（冬季树木休眠，修剪树形）。</w:t>
      </w:r>
    </w:p>
    <w:p>
      <w:pPr>
        <w:pStyle w:val="1853"/>
        <w:spacing w:line="360" w:lineRule="auto"/>
        <w:ind w:firstLine="440"/>
        <w:rPr>
          <w:rFonts w:ascii="宋体" w:hAnsi="宋体" w:cs="宋体"/>
          <w:color w:val="000000"/>
          <w:sz w:val="22"/>
        </w:rPr>
      </w:pPr>
      <w:r>
        <w:rPr>
          <w:rFonts w:hint="eastAsia" w:ascii="宋体" w:hAnsi="宋体" w:cs="宋体"/>
          <w:color w:val="000000"/>
          <w:sz w:val="22"/>
        </w:rPr>
        <w:t>1.6承包方式</w:t>
      </w:r>
    </w:p>
    <w:p>
      <w:pPr>
        <w:adjustRightInd w:val="0"/>
        <w:snapToGrid w:val="0"/>
        <w:spacing w:line="360" w:lineRule="auto"/>
        <w:ind w:firstLine="440"/>
        <w:rPr>
          <w:rFonts w:ascii="宋体" w:hAnsi="宋体" w:cs="宋体"/>
          <w:color w:val="000000"/>
          <w:sz w:val="22"/>
        </w:rPr>
      </w:pPr>
      <w:r>
        <w:rPr>
          <w:rFonts w:hint="eastAsia" w:ascii="宋体" w:hAnsi="宋体" w:cs="宋体"/>
          <w:color w:val="000000"/>
          <w:sz w:val="22"/>
        </w:rPr>
        <w:t>1.6.1本次招标采用总价承包。</w:t>
      </w:r>
    </w:p>
    <w:p>
      <w:pPr>
        <w:adjustRightInd w:val="0"/>
        <w:snapToGrid w:val="0"/>
        <w:spacing w:line="360" w:lineRule="auto"/>
        <w:ind w:firstLine="440"/>
        <w:rPr>
          <w:rFonts w:ascii="宋体" w:hAnsi="宋体" w:cs="宋体"/>
          <w:color w:val="000000"/>
          <w:sz w:val="22"/>
        </w:rPr>
      </w:pPr>
      <w:r>
        <w:rPr>
          <w:rFonts w:hint="eastAsia" w:ascii="宋体" w:hAnsi="宋体" w:cs="宋体"/>
          <w:color w:val="000000"/>
          <w:sz w:val="22"/>
        </w:rPr>
        <w:t>1.6.2本项目除在投标文件中列明并经业主同意外，承包人一律不得分包、转包。一经发现立即取消承包资格，作违约处理，并承担由此引起的法律责任及一切经济损失。</w:t>
      </w:r>
    </w:p>
    <w:p>
      <w:pPr>
        <w:adjustRightInd w:val="0"/>
        <w:snapToGrid w:val="0"/>
        <w:spacing w:line="360" w:lineRule="auto"/>
        <w:ind w:firstLine="440"/>
        <w:rPr>
          <w:rFonts w:ascii="宋体" w:hAnsi="宋体"/>
          <w:sz w:val="24"/>
        </w:rPr>
      </w:pPr>
      <w:r>
        <w:rPr>
          <w:rFonts w:hint="eastAsia" w:ascii="宋体" w:hAnsi="宋体" w:cs="宋体"/>
          <w:color w:val="000000"/>
          <w:sz w:val="22"/>
        </w:rPr>
        <w:t>1.6.3 因绿化服务区域改造等特殊情况引起盆花位置、数量变化等情况，由中标人与招标人另行协商。</w:t>
      </w:r>
    </w:p>
    <w:p>
      <w:pPr>
        <w:widowControl/>
        <w:snapToGrid w:val="0"/>
        <w:spacing w:line="360" w:lineRule="auto"/>
        <w:jc w:val="left"/>
        <w:outlineLvl w:val="1"/>
        <w:rPr>
          <w:rFonts w:ascii="宋体" w:hAnsi="宋体" w:cs="宋体"/>
          <w:b/>
          <w:bCs/>
          <w:kern w:val="0"/>
          <w:sz w:val="22"/>
        </w:rPr>
      </w:pPr>
      <w:r>
        <w:rPr>
          <w:rFonts w:hint="eastAsia" w:ascii="宋体" w:hAnsi="宋体" w:cs="宋体"/>
          <w:b/>
          <w:bCs/>
          <w:kern w:val="0"/>
          <w:sz w:val="22"/>
        </w:rPr>
        <w:t>二、服务需求</w:t>
      </w:r>
    </w:p>
    <w:p>
      <w:pPr>
        <w:adjustRightInd w:val="0"/>
        <w:snapToGrid w:val="0"/>
        <w:spacing w:line="360" w:lineRule="auto"/>
        <w:ind w:firstLine="442"/>
        <w:outlineLvl w:val="2"/>
        <w:rPr>
          <w:rFonts w:ascii="宋体" w:hAnsi="宋体" w:cs="宋体"/>
          <w:b/>
          <w:bCs/>
          <w:kern w:val="0"/>
          <w:sz w:val="22"/>
        </w:rPr>
      </w:pPr>
      <w:r>
        <w:rPr>
          <w:rFonts w:hint="eastAsia" w:ascii="宋体" w:hAnsi="宋体" w:cs="宋体"/>
          <w:b/>
          <w:bCs/>
          <w:kern w:val="0"/>
          <w:sz w:val="22"/>
        </w:rPr>
        <w:t>2.1航站楼绿化租摆（不含花堆）</w:t>
      </w:r>
    </w:p>
    <w:p>
      <w:pPr>
        <w:widowControl/>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根据下表《</w:t>
      </w:r>
      <w:r>
        <w:rPr>
          <w:rFonts w:ascii="宋体" w:hAnsi="宋体" w:cs="宋体"/>
          <w:kern w:val="0"/>
          <w:sz w:val="22"/>
        </w:rPr>
        <w:t>航站楼绿化摆放清单</w:t>
      </w:r>
      <w:r>
        <w:rPr>
          <w:rFonts w:hint="eastAsia" w:ascii="宋体" w:hAnsi="宋体" w:cs="宋体"/>
          <w:kern w:val="0"/>
          <w:sz w:val="22"/>
        </w:rPr>
        <w:t>》的要求进行植物提供。其中花器供应一栏打“</w:t>
      </w:r>
      <w:r>
        <w:rPr>
          <w:rFonts w:hint="eastAsia" w:ascii="宋体" w:hAnsi="宋体" w:cs="宋体"/>
          <w:color w:val="000000"/>
          <w:kern w:val="0"/>
          <w:sz w:val="16"/>
          <w:szCs w:val="16"/>
          <w:lang w:bidi="ar"/>
        </w:rPr>
        <w:t>×</w:t>
      </w:r>
      <w:r>
        <w:rPr>
          <w:rFonts w:hint="eastAsia" w:ascii="宋体" w:hAnsi="宋体" w:cs="宋体"/>
          <w:kern w:val="0"/>
          <w:sz w:val="22"/>
        </w:rPr>
        <w:t>”代表招标人不提供相应花器，需投标人自行采购。</w:t>
      </w:r>
    </w:p>
    <w:p>
      <w:pPr>
        <w:widowControl/>
        <w:adjustRightInd w:val="0"/>
        <w:snapToGrid w:val="0"/>
        <w:spacing w:line="360" w:lineRule="auto"/>
        <w:ind w:firstLine="440"/>
        <w:jc w:val="center"/>
        <w:rPr>
          <w:rFonts w:ascii="宋体" w:hAnsi="宋体" w:cs="宋体"/>
          <w:kern w:val="0"/>
          <w:sz w:val="22"/>
        </w:rPr>
      </w:pPr>
      <w:r>
        <w:rPr>
          <w:rFonts w:hint="eastAsia" w:ascii="黑体" w:hAnsi="黑体" w:eastAsia="黑体" w:cs="黑体"/>
          <w:kern w:val="0"/>
          <w:sz w:val="22"/>
        </w:rPr>
        <w:t>表1：航站楼绿化摆放清单</w:t>
      </w:r>
    </w:p>
    <w:p>
      <w:pPr>
        <w:widowControl/>
        <w:adjustRightInd w:val="0"/>
        <w:snapToGrid w:val="0"/>
        <w:spacing w:line="360" w:lineRule="auto"/>
        <w:jc w:val="left"/>
        <w:rPr>
          <w:rFonts w:ascii="宋体" w:hAnsi="宋体" w:cs="宋体"/>
          <w:kern w:val="0"/>
          <w:sz w:val="22"/>
        </w:rPr>
      </w:pPr>
      <w:r>
        <w:rPr>
          <w:rFonts w:hint="eastAsia" w:ascii="宋体" w:hAnsi="宋体" w:cs="宋体"/>
          <w:kern w:val="0"/>
          <w:sz w:val="22"/>
        </w:rPr>
        <w:t>一、重点柜台（安检、失物招领、问询）植物摆放品种和数量要求清单</w:t>
      </w:r>
    </w:p>
    <w:tbl>
      <w:tblPr>
        <w:tblStyle w:val="89"/>
        <w:tblW w:w="9442" w:type="dxa"/>
        <w:tblInd w:w="0" w:type="dxa"/>
        <w:tblLayout w:type="fixed"/>
        <w:tblCellMar>
          <w:top w:w="15" w:type="dxa"/>
          <w:left w:w="15" w:type="dxa"/>
          <w:bottom w:w="15" w:type="dxa"/>
          <w:right w:w="15" w:type="dxa"/>
        </w:tblCellMar>
      </w:tblPr>
      <w:tblGrid>
        <w:gridCol w:w="965"/>
        <w:gridCol w:w="1841"/>
        <w:gridCol w:w="1626"/>
        <w:gridCol w:w="1937"/>
        <w:gridCol w:w="1731"/>
        <w:gridCol w:w="1342"/>
      </w:tblGrid>
      <w:tr>
        <w:tblPrEx>
          <w:tblLayout w:type="fixed"/>
          <w:tblCellMar>
            <w:top w:w="15" w:type="dxa"/>
            <w:left w:w="15" w:type="dxa"/>
            <w:bottom w:w="15" w:type="dxa"/>
            <w:right w:w="15" w:type="dxa"/>
          </w:tblCellMar>
        </w:tblPrEx>
        <w:trPr>
          <w:trHeight w:val="459" w:hRule="atLeast"/>
        </w:trPr>
        <w:tc>
          <w:tcPr>
            <w:tcW w:w="965"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序号</w:t>
            </w:r>
          </w:p>
        </w:tc>
        <w:tc>
          <w:tcPr>
            <w:tcW w:w="1841"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位置</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品种</w:t>
            </w:r>
          </w:p>
        </w:tc>
        <w:tc>
          <w:tcPr>
            <w:tcW w:w="19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规格（M）</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数量（盆）</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花器供应</w:t>
            </w:r>
          </w:p>
        </w:tc>
      </w:tr>
      <w:tr>
        <w:tblPrEx>
          <w:tblLayout w:type="fixed"/>
          <w:tblCellMar>
            <w:top w:w="15" w:type="dxa"/>
            <w:left w:w="15" w:type="dxa"/>
            <w:bottom w:w="15" w:type="dxa"/>
            <w:right w:w="15" w:type="dxa"/>
          </w:tblCellMar>
        </w:tblPrEx>
        <w:trPr>
          <w:trHeight w:val="360" w:hRule="atLeast"/>
        </w:trPr>
        <w:tc>
          <w:tcPr>
            <w:tcW w:w="28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b/>
                <w:color w:val="000000"/>
                <w:sz w:val="16"/>
                <w:szCs w:val="16"/>
              </w:rPr>
            </w:pPr>
            <w:r>
              <w:rPr>
                <w:rFonts w:hint="eastAsia" w:ascii="微软雅黑" w:hAnsi="微软雅黑" w:eastAsia="微软雅黑" w:cs="微软雅黑"/>
                <w:b/>
                <w:color w:val="000000"/>
                <w:kern w:val="0"/>
                <w:sz w:val="16"/>
                <w:szCs w:val="16"/>
                <w:lang w:bidi="ar"/>
              </w:rPr>
              <w:t>T1区域</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微软雅黑" w:hAnsi="微软雅黑" w:eastAsia="微软雅黑" w:cs="微软雅黑"/>
                <w:color w:val="000000"/>
                <w:sz w:val="16"/>
                <w:szCs w:val="16"/>
              </w:rPr>
            </w:pPr>
          </w:p>
        </w:tc>
        <w:tc>
          <w:tcPr>
            <w:tcW w:w="193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微软雅黑" w:hAnsi="微软雅黑" w:eastAsia="微软雅黑" w:cs="微软雅黑"/>
                <w:color w:val="000000"/>
                <w:sz w:val="16"/>
                <w:szCs w:val="16"/>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微软雅黑" w:hAnsi="微软雅黑" w:eastAsia="微软雅黑" w:cs="微软雅黑"/>
                <w:color w:val="000000"/>
                <w:sz w:val="16"/>
                <w:szCs w:val="16"/>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微软雅黑" w:hAnsi="微软雅黑" w:eastAsia="微软雅黑" w:cs="微软雅黑"/>
                <w:color w:val="000000"/>
                <w:sz w:val="16"/>
                <w:szCs w:val="16"/>
              </w:rPr>
            </w:pPr>
          </w:p>
        </w:tc>
      </w:tr>
      <w:tr>
        <w:tblPrEx>
          <w:tblLayout w:type="fixed"/>
          <w:tblCellMar>
            <w:top w:w="15" w:type="dxa"/>
            <w:left w:w="15" w:type="dxa"/>
            <w:bottom w:w="15" w:type="dxa"/>
            <w:right w:w="15" w:type="dxa"/>
          </w:tblCellMar>
        </w:tblPrEx>
        <w:trPr>
          <w:trHeight w:val="90" w:hRule="atLeas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出发大厅问询台</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蝴蝶兰组合（8合1）</w:t>
            </w:r>
          </w:p>
        </w:tc>
        <w:tc>
          <w:tcPr>
            <w:tcW w:w="19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46" w:hRule="atLeas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2</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安检柜台上</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小蝴蝶兰（2合1）</w:t>
            </w:r>
          </w:p>
        </w:tc>
        <w:tc>
          <w:tcPr>
            <w:tcW w:w="19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花卉H0.4 P0.4</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59" w:hRule="atLeas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3</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员工安检柜台上</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小蝴蝶兰（2合1）</w:t>
            </w:r>
          </w:p>
        </w:tc>
        <w:tc>
          <w:tcPr>
            <w:tcW w:w="19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花卉H0.4P0.4</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2</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213" w:hRule="atLeas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4</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失物招领柜台</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小蝴蝶兰（4合1）</w:t>
            </w:r>
          </w:p>
        </w:tc>
        <w:tc>
          <w:tcPr>
            <w:tcW w:w="19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花卉H0.4P0.4</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8</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420" w:hRule="atLeast"/>
        </w:trPr>
        <w:tc>
          <w:tcPr>
            <w:tcW w:w="280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lang w:bidi="ar"/>
              </w:rPr>
              <w:t>T2区域</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9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r>
      <w:tr>
        <w:tblPrEx>
          <w:tblLayout w:type="fixed"/>
          <w:tblCellMar>
            <w:top w:w="15" w:type="dxa"/>
            <w:left w:w="15" w:type="dxa"/>
            <w:bottom w:w="15" w:type="dxa"/>
            <w:right w:w="15" w:type="dxa"/>
          </w:tblCellMar>
        </w:tblPrEx>
        <w:trPr>
          <w:trHeight w:val="90" w:hRule="atLeas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大厅问询服务台上</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蝴蝶兰组合（8合1）</w:t>
            </w:r>
          </w:p>
        </w:tc>
        <w:tc>
          <w:tcPr>
            <w:tcW w:w="19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安检入口台上</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小蝴蝶兰（6合1）</w:t>
            </w:r>
          </w:p>
        </w:tc>
        <w:tc>
          <w:tcPr>
            <w:tcW w:w="19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花卉H0.4 P0.4</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通道安检口柜台</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小蝴蝶兰（2合1）</w:t>
            </w:r>
          </w:p>
        </w:tc>
        <w:tc>
          <w:tcPr>
            <w:tcW w:w="19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花卉H0.4 P0.4</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65"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841"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T2出发大厅售票处柜台</w:t>
            </w:r>
          </w:p>
        </w:tc>
        <w:tc>
          <w:tcPr>
            <w:tcW w:w="1626"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小蝴蝶兰（4合1）</w:t>
            </w:r>
          </w:p>
        </w:tc>
        <w:tc>
          <w:tcPr>
            <w:tcW w:w="1937"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花卉H0.4P0.4</w:t>
            </w:r>
          </w:p>
        </w:tc>
        <w:tc>
          <w:tcPr>
            <w:tcW w:w="1731"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134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390" w:hRule="atLeast"/>
        </w:trPr>
        <w:tc>
          <w:tcPr>
            <w:tcW w:w="280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lang w:bidi="ar"/>
              </w:rPr>
              <w:t>T3区域</w:t>
            </w:r>
          </w:p>
        </w:tc>
        <w:tc>
          <w:tcPr>
            <w:tcW w:w="162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sz w:val="16"/>
                <w:szCs w:val="16"/>
              </w:rPr>
            </w:pPr>
          </w:p>
        </w:tc>
        <w:tc>
          <w:tcPr>
            <w:tcW w:w="193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sz w:val="16"/>
                <w:szCs w:val="16"/>
              </w:rPr>
            </w:pPr>
          </w:p>
        </w:tc>
        <w:tc>
          <w:tcPr>
            <w:tcW w:w="173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sz w:val="16"/>
                <w:szCs w:val="16"/>
              </w:rPr>
            </w:pPr>
          </w:p>
        </w:tc>
        <w:tc>
          <w:tcPr>
            <w:tcW w:w="134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sz w:val="16"/>
                <w:szCs w:val="16"/>
              </w:rPr>
            </w:pPr>
          </w:p>
        </w:tc>
      </w:tr>
      <w:tr>
        <w:tblPrEx>
          <w:tblLayout w:type="fixed"/>
          <w:tblCellMar>
            <w:top w:w="15" w:type="dxa"/>
            <w:left w:w="15" w:type="dxa"/>
            <w:bottom w:w="15" w:type="dxa"/>
            <w:right w:w="15" w:type="dxa"/>
          </w:tblCellMar>
        </w:tblPrEx>
        <w:trPr>
          <w:trHeight w:val="90" w:hRule="atLeast"/>
        </w:trPr>
        <w:tc>
          <w:tcPr>
            <w:tcW w:w="965"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841"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问询台上</w:t>
            </w:r>
          </w:p>
        </w:tc>
        <w:tc>
          <w:tcPr>
            <w:tcW w:w="1626" w:type="dxa"/>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蝴蝶兰组合</w:t>
            </w:r>
          </w:p>
        </w:tc>
        <w:tc>
          <w:tcPr>
            <w:tcW w:w="1937" w:type="dxa"/>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高档花卉H0.8P0.7</w:t>
            </w:r>
          </w:p>
        </w:tc>
        <w:tc>
          <w:tcPr>
            <w:tcW w:w="1731" w:type="dxa"/>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1342" w:type="dxa"/>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安检柜台</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w:t>
            </w:r>
          </w:p>
        </w:tc>
        <w:tc>
          <w:tcPr>
            <w:tcW w:w="19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花卉H0.0.4P0.0.4</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46</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8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问询台上</w:t>
            </w:r>
          </w:p>
        </w:tc>
        <w:tc>
          <w:tcPr>
            <w:tcW w:w="16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蝴蝶兰组合</w:t>
            </w:r>
          </w:p>
        </w:tc>
        <w:tc>
          <w:tcPr>
            <w:tcW w:w="19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高档花卉H0.8 P0.7</w:t>
            </w:r>
          </w:p>
        </w:tc>
        <w:tc>
          <w:tcPr>
            <w:tcW w:w="1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bl>
    <w:p>
      <w:pPr>
        <w:widowControl/>
        <w:adjustRightInd w:val="0"/>
        <w:snapToGrid w:val="0"/>
        <w:spacing w:line="360" w:lineRule="auto"/>
        <w:jc w:val="left"/>
        <w:rPr>
          <w:rFonts w:ascii="宋体" w:hAnsi="宋体" w:cs="宋体"/>
          <w:kern w:val="0"/>
          <w:sz w:val="22"/>
        </w:rPr>
      </w:pPr>
      <w:r>
        <w:rPr>
          <w:rFonts w:hint="eastAsia" w:ascii="宋体" w:hAnsi="宋体" w:cs="宋体"/>
          <w:kern w:val="0"/>
          <w:sz w:val="22"/>
        </w:rPr>
        <w:t>二、头等舱、接待室、党员初心站植物摆放清单</w:t>
      </w:r>
    </w:p>
    <w:tbl>
      <w:tblPr>
        <w:tblStyle w:val="89"/>
        <w:tblW w:w="9442" w:type="dxa"/>
        <w:tblInd w:w="0" w:type="dxa"/>
        <w:tblLayout w:type="fixed"/>
        <w:tblCellMar>
          <w:top w:w="15" w:type="dxa"/>
          <w:left w:w="15" w:type="dxa"/>
          <w:bottom w:w="15" w:type="dxa"/>
          <w:right w:w="15" w:type="dxa"/>
        </w:tblCellMar>
      </w:tblPr>
      <w:tblGrid>
        <w:gridCol w:w="776"/>
        <w:gridCol w:w="1999"/>
        <w:gridCol w:w="1627"/>
        <w:gridCol w:w="2011"/>
        <w:gridCol w:w="1434"/>
        <w:gridCol w:w="1595"/>
      </w:tblGrid>
      <w:tr>
        <w:tblPrEx>
          <w:tblLayout w:type="fixed"/>
          <w:tblCellMar>
            <w:top w:w="15" w:type="dxa"/>
            <w:left w:w="15" w:type="dxa"/>
            <w:bottom w:w="15" w:type="dxa"/>
            <w:right w:w="15" w:type="dxa"/>
          </w:tblCellMar>
        </w:tblPrEx>
        <w:trPr>
          <w:trHeight w:val="63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微软雅黑" w:hAnsi="微软雅黑" w:eastAsia="微软雅黑" w:cs="微软雅黑"/>
                <w:color w:val="000000"/>
                <w:kern w:val="0"/>
                <w:sz w:val="16"/>
                <w:szCs w:val="16"/>
                <w:lang w:bidi="ar"/>
              </w:rPr>
              <w:t>序号</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微软雅黑" w:hAnsi="微软雅黑" w:eastAsia="微软雅黑" w:cs="微软雅黑"/>
                <w:color w:val="000000"/>
                <w:kern w:val="0"/>
                <w:sz w:val="16"/>
                <w:szCs w:val="16"/>
                <w:lang w:bidi="ar"/>
              </w:rPr>
              <w:t>位置</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微软雅黑" w:hAnsi="微软雅黑" w:eastAsia="微软雅黑" w:cs="微软雅黑"/>
                <w:color w:val="000000"/>
                <w:kern w:val="0"/>
                <w:sz w:val="16"/>
                <w:szCs w:val="16"/>
                <w:lang w:bidi="ar"/>
              </w:rPr>
              <w:t>品种</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微软雅黑" w:hAnsi="微软雅黑" w:eastAsia="微软雅黑" w:cs="微软雅黑"/>
                <w:color w:val="000000"/>
                <w:kern w:val="0"/>
                <w:sz w:val="16"/>
                <w:szCs w:val="16"/>
                <w:lang w:bidi="ar"/>
              </w:rPr>
              <w:t>规格（M）</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微软雅黑" w:hAnsi="微软雅黑" w:eastAsia="微软雅黑" w:cs="微软雅黑"/>
                <w:color w:val="000000"/>
                <w:kern w:val="0"/>
                <w:sz w:val="16"/>
                <w:szCs w:val="16"/>
                <w:lang w:bidi="ar"/>
              </w:rPr>
              <w:t>数量（盆）</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微软雅黑" w:hAnsi="微软雅黑" w:eastAsia="微软雅黑" w:cs="微软雅黑"/>
                <w:color w:val="000000"/>
                <w:kern w:val="0"/>
                <w:sz w:val="16"/>
                <w:szCs w:val="16"/>
                <w:lang w:bidi="ar"/>
              </w:rPr>
              <w:t>花器供应</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1</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国际接待室侧</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散尾葵</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大H1.8P1.2</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2</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9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国际接待室</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夏威夷椰子</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大H1.8P0.8</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发财树</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大H1.7P1.0</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国际接待室茶几上</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盆景榕</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盆景H0.6 P0.45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国际2楼头等舱服务台上</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蝴蝶兰</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国际上头等舱入口台阶</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非洲茉莉</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H1.0 P0.8</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214"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w:t>
            </w:r>
          </w:p>
        </w:tc>
        <w:tc>
          <w:tcPr>
            <w:tcW w:w="19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国际2楼头等舱两侧</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05"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棕竹</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H1.2 P0.6</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国际2楼头等舱茶几上</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花卉H0.4P0.45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36</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19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国际2楼头等舱餐厅区域</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散尾葵</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大H1.3P1.0</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30</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w:t>
            </w: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夏威夷椰子</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大H1.5P1.5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非洲茉莉</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H1.0 P0.8</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73"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13</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国际2楼头等舱电脑桌上</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粉掌</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花卉H0.6 P0.45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国际2楼头等舱电脑桌旁</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鸭脚木</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中H0.7P0.7</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86"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15</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国际头等舱紧急出口楼梯对面柜台</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花卉H0.4P0.45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国际头等舱靠停机坪玻璃下</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17</w:t>
            </w:r>
          </w:p>
        </w:tc>
        <w:tc>
          <w:tcPr>
            <w:tcW w:w="19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国际头等舱餐厅四周</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幸福树</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超大H2.5 P1.8</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多头龙血树</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超大H2.5 P2.0</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04"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19</w:t>
            </w: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18"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国际头等舱卫生间入口两侧</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玉桂</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大H1.6 P1.5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20"/>
                <w:szCs w:val="20"/>
                <w:lang w:bidi="ar"/>
              </w:rPr>
              <w:t>4</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87"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21</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国际头等舱服务台边</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玉桂</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大H1.6 P1.5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45"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22</w:t>
            </w:r>
          </w:p>
        </w:tc>
        <w:tc>
          <w:tcPr>
            <w:tcW w:w="19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国际头等舱男女卫生间</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花卉H0.7 P0.45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32"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23</w:t>
            </w: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T2国际头等舱</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虎皮兰</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P1.0</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15</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05"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25</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T2头等舱紧急出口楼梯上</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H1.0 P0.8</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228"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26</w:t>
            </w:r>
          </w:p>
        </w:tc>
        <w:tc>
          <w:tcPr>
            <w:tcW w:w="19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国际中转厅头等舱内</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花卉H0.7P0.45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214"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27</w:t>
            </w: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夏威夷椰子</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H1.50P0.80</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28</w:t>
            </w: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吊绿萝</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小型H0.45P0.45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29</w:t>
            </w: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H1.0 P0.8</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30</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国际中转厅头等舱门口（2个）</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巴西铁</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大H1.70P0.80</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31</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F4头等舱休息室门口</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黑金刚</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中H0.6P0.8</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32</w:t>
            </w:r>
          </w:p>
        </w:tc>
        <w:tc>
          <w:tcPr>
            <w:tcW w:w="19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F4头等舱休息室内</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花卉H0.7P0.25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86"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33</w:t>
            </w: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 P0.6</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32"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34</w:t>
            </w: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发财树</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H1.7 P0.8</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35</w:t>
            </w: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100</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36</w:t>
            </w: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水培红掌</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花卉H0.6 P0.25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37</w:t>
            </w: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水培红掌</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花卉H0.4P0.2</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38</w:t>
            </w: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富贵竹笼</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中H1.5 P0.8</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39</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F4头等舱服务台</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小蝴蝶兰（4合1）</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花卉H0.4P0.4</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40</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9号头等舱台阶上</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大黄金葛</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41</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9号头等舱入口玻璃门右侧</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巴西美人（4合1）</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中H0.8P0.6</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42</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9号头等舱靠墙一侧</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白掌  （6合1）</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花卉H0.8P0.75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15</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43</w:t>
            </w:r>
          </w:p>
        </w:tc>
        <w:tc>
          <w:tcPr>
            <w:tcW w:w="19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9号头等舱进门柜台两侧</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44</w:t>
            </w: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 P0.6</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45</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9号头等舱电梯口</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46</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9号头等舱柜台上</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蝴蝶兰</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高档花卉H0.8 P0.7</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47</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9号头等舱茶几上</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高档花卉H0.4 P0.4</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r>
              <w:rPr>
                <w:rFonts w:hint="eastAsia" w:ascii="宋体" w:hAnsi="宋体" w:cs="宋体"/>
                <w:color w:val="000000"/>
                <w:kern w:val="0"/>
                <w:sz w:val="16"/>
                <w:szCs w:val="16"/>
                <w:lang w:bidi="ar"/>
              </w:rPr>
              <w:t>48</w:t>
            </w:r>
          </w:p>
        </w:tc>
        <w:tc>
          <w:tcPr>
            <w:tcW w:w="19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9号头等舱休息区</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发财树</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超大H1.7 P1.5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49</w:t>
            </w: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盆景发财树</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盆景H0.6 P0.5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50</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9号头等舱隔墙上</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花卉H0.75 P0.7</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51</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9号头等舱包厢通道</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雅丽皇后</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中H0.75 P0.7</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52</w:t>
            </w:r>
          </w:p>
        </w:tc>
        <w:tc>
          <w:tcPr>
            <w:tcW w:w="19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9号头等舱第一个包厢</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青叶也门铁</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53</w:t>
            </w: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花卉H0.7 P0.4</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54</w:t>
            </w:r>
          </w:p>
        </w:tc>
        <w:tc>
          <w:tcPr>
            <w:tcW w:w="19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9号头等舱第二个包厢</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青叶也门铁</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青叶也门铁</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55</w:t>
            </w: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56</w:t>
            </w:r>
          </w:p>
        </w:tc>
        <w:tc>
          <w:tcPr>
            <w:tcW w:w="19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虎皮兰</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虎皮兰</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57</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9号头等舱第三个</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青叶也门铁</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58</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包厢</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 P0.45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59</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初心室</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小蝴蝶兰（4合1）</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花卉H0.4P0.45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60</w:t>
            </w:r>
          </w:p>
        </w:tc>
        <w:tc>
          <w:tcPr>
            <w:tcW w:w="1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初心室</w:t>
            </w:r>
          </w:p>
        </w:tc>
        <w:tc>
          <w:tcPr>
            <w:tcW w:w="162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201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 P0.45</w:t>
            </w:r>
          </w:p>
        </w:tc>
        <w:tc>
          <w:tcPr>
            <w:tcW w:w="14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15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bl>
    <w:p>
      <w:pPr>
        <w:widowControl/>
        <w:adjustRightInd w:val="0"/>
        <w:snapToGrid w:val="0"/>
        <w:spacing w:line="360" w:lineRule="auto"/>
        <w:jc w:val="left"/>
        <w:rPr>
          <w:rFonts w:ascii="宋体" w:hAnsi="宋体" w:cs="宋体"/>
          <w:kern w:val="0"/>
          <w:sz w:val="22"/>
        </w:rPr>
      </w:pPr>
      <w:r>
        <w:rPr>
          <w:rFonts w:hint="eastAsia" w:ascii="宋体" w:hAnsi="宋体" w:cs="宋体"/>
          <w:kern w:val="0"/>
          <w:sz w:val="22"/>
        </w:rPr>
        <w:t>三、楼内其它区域植物摆放清单</w:t>
      </w:r>
    </w:p>
    <w:tbl>
      <w:tblPr>
        <w:tblStyle w:val="89"/>
        <w:tblW w:w="9442" w:type="dxa"/>
        <w:tblInd w:w="0" w:type="dxa"/>
        <w:tblLayout w:type="fixed"/>
        <w:tblCellMar>
          <w:top w:w="15" w:type="dxa"/>
          <w:left w:w="15" w:type="dxa"/>
          <w:bottom w:w="15" w:type="dxa"/>
          <w:right w:w="15" w:type="dxa"/>
        </w:tblCellMar>
      </w:tblPr>
      <w:tblGrid>
        <w:gridCol w:w="956"/>
        <w:gridCol w:w="2033"/>
        <w:gridCol w:w="1581"/>
        <w:gridCol w:w="2252"/>
        <w:gridCol w:w="1528"/>
        <w:gridCol w:w="1092"/>
      </w:tblGrid>
      <w:tr>
        <w:tblPrEx>
          <w:tblLayout w:type="fixed"/>
          <w:tblCellMar>
            <w:top w:w="15" w:type="dxa"/>
            <w:left w:w="15" w:type="dxa"/>
            <w:bottom w:w="15" w:type="dxa"/>
            <w:right w:w="15" w:type="dxa"/>
          </w:tblCellMar>
        </w:tblPrEx>
        <w:trPr>
          <w:trHeight w:val="72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lang w:bidi="ar"/>
              </w:rPr>
            </w:pPr>
            <w:r>
              <w:rPr>
                <w:rFonts w:hint="eastAsia" w:ascii="微软雅黑" w:hAnsi="微软雅黑" w:eastAsia="微软雅黑" w:cs="微软雅黑"/>
                <w:color w:val="000000"/>
                <w:kern w:val="0"/>
                <w:sz w:val="16"/>
                <w:szCs w:val="16"/>
                <w:lang w:bidi="ar"/>
              </w:rPr>
              <w:t>序号</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lang w:bidi="ar"/>
              </w:rPr>
            </w:pPr>
            <w:r>
              <w:rPr>
                <w:rFonts w:hint="eastAsia" w:ascii="微软雅黑" w:hAnsi="微软雅黑" w:eastAsia="微软雅黑" w:cs="微软雅黑"/>
                <w:color w:val="000000"/>
                <w:kern w:val="0"/>
                <w:sz w:val="16"/>
                <w:szCs w:val="16"/>
                <w:lang w:bidi="ar"/>
              </w:rPr>
              <w:t>位置</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lang w:bidi="ar"/>
              </w:rPr>
            </w:pPr>
            <w:r>
              <w:rPr>
                <w:rFonts w:hint="eastAsia" w:ascii="微软雅黑" w:hAnsi="微软雅黑" w:eastAsia="微软雅黑" w:cs="微软雅黑"/>
                <w:color w:val="000000"/>
                <w:kern w:val="0"/>
                <w:sz w:val="16"/>
                <w:szCs w:val="16"/>
                <w:lang w:bidi="ar"/>
              </w:rPr>
              <w:t>品种</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lang w:bidi="ar"/>
              </w:rPr>
            </w:pPr>
            <w:r>
              <w:rPr>
                <w:rFonts w:hint="eastAsia" w:ascii="微软雅黑" w:hAnsi="微软雅黑" w:eastAsia="微软雅黑" w:cs="微软雅黑"/>
                <w:color w:val="000000"/>
                <w:kern w:val="0"/>
                <w:sz w:val="16"/>
                <w:szCs w:val="16"/>
                <w:lang w:bidi="ar"/>
              </w:rPr>
              <w:t>规格（M）</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lang w:bidi="ar"/>
              </w:rPr>
            </w:pPr>
            <w:r>
              <w:rPr>
                <w:rFonts w:hint="eastAsia" w:ascii="微软雅黑" w:hAnsi="微软雅黑" w:eastAsia="微软雅黑" w:cs="微软雅黑"/>
                <w:color w:val="000000"/>
                <w:kern w:val="0"/>
                <w:sz w:val="16"/>
                <w:szCs w:val="16"/>
                <w:lang w:bidi="ar"/>
              </w:rPr>
              <w:t>数量（盆）</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lang w:bidi="ar"/>
              </w:rPr>
            </w:pPr>
            <w:r>
              <w:rPr>
                <w:rFonts w:hint="eastAsia" w:ascii="微软雅黑" w:hAnsi="微软雅黑" w:eastAsia="微软雅黑" w:cs="微软雅黑"/>
                <w:color w:val="000000"/>
                <w:kern w:val="0"/>
                <w:sz w:val="16"/>
                <w:szCs w:val="16"/>
                <w:lang w:bidi="ar"/>
              </w:rPr>
              <w:t>花器供应</w:t>
            </w:r>
          </w:p>
        </w:tc>
      </w:tr>
      <w:tr>
        <w:tblPrEx>
          <w:tblLayout w:type="fixed"/>
          <w:tblCellMar>
            <w:top w:w="15" w:type="dxa"/>
            <w:left w:w="15" w:type="dxa"/>
            <w:bottom w:w="15" w:type="dxa"/>
            <w:right w:w="15" w:type="dxa"/>
          </w:tblCellMar>
        </w:tblPrEx>
        <w:trPr>
          <w:trHeight w:val="360" w:hRule="atLeast"/>
        </w:trPr>
        <w:tc>
          <w:tcPr>
            <w:tcW w:w="2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T1一楼区域</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6、8、10号门进门两侧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失物招领对面</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6-8号门男女厕所（W1158）</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H1.7 P1.0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209"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一叶兰</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H0.8 P0.5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81"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8-10号门男女厕所（W1101）</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青叶也门铁</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26"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绿巨人</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大H1.0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员工安检处墙边</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雅丽皇后</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H0.8 P0.6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285" w:hRule="atLeast"/>
        </w:trPr>
        <w:tc>
          <w:tcPr>
            <w:tcW w:w="2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lang w:bidi="ar"/>
              </w:rPr>
              <w:t>T1到达夹层</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B12到达夹层口</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大H1.7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到达行李大厅靠墙一侧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P1.0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0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行李转盘台上</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红掌组合</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中H0.7 P0.45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23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B03-B07到达夹层靠窗台面</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组合盆H0.45 P0.45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15</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到达行李大厅出口处</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P1.0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B9-11到达出口口</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大H1.7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285" w:hRule="atLeast"/>
        </w:trPr>
        <w:tc>
          <w:tcPr>
            <w:tcW w:w="2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lang w:bidi="ar"/>
              </w:rPr>
              <w:t>T1三楼区域</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C22值机岛边上</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13"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安检门口</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螺纹铁</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45</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员工安检通道</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红星组合</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安检办公室</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超大H1.8P0.6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螺纹铁</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鸭脚木</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中H0.7P0.7</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安检内柱子边</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幸福树</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超大H3.0P2.0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B85-87远机位</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大H1.8 P1.2</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W3010厕所内</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万年青</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中H0.75P0.7</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W3016厕所内</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万年青</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中H0.75P0.7</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B855厕所</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一叶兰</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中H0.8 P0.5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23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卫星厅靠中空区玻璃侧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螺纹铁</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13</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卫星厅远机位</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P1.0</w:t>
            </w:r>
          </w:p>
        </w:tc>
        <w:tc>
          <w:tcPr>
            <w:tcW w:w="1528"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sz w:val="16"/>
                <w:szCs w:val="16"/>
              </w:rPr>
              <w:t>3</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13"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P1.0</w:t>
            </w:r>
          </w:p>
        </w:tc>
        <w:tc>
          <w:tcPr>
            <w:tcW w:w="1528" w:type="dxa"/>
            <w:tcBorders>
              <w:top w:val="single" w:color="auto" w:sz="4" w:space="0"/>
              <w:left w:val="single" w:color="000000" w:sz="4" w:space="0"/>
              <w:bottom w:val="single" w:color="auto" w:sz="4" w:space="0"/>
              <w:right w:val="single" w:color="000000" w:sz="4" w:space="0"/>
            </w:tcBorders>
            <w:shd w:val="clear" w:color="auto" w:fill="auto"/>
            <w:vAlign w:val="center"/>
          </w:tcPr>
          <w:p>
            <w:pPr>
              <w:jc w:val="center"/>
              <w:rPr>
                <w:rFonts w:ascii="宋体" w:hAnsi="宋体" w:cs="宋体"/>
                <w:color w:val="000000"/>
                <w:sz w:val="16"/>
                <w:szCs w:val="16"/>
              </w:rPr>
            </w:pPr>
            <w:r>
              <w:rPr>
                <w:rFonts w:hint="eastAsia" w:ascii="宋体" w:hAnsi="宋体" w:cs="宋体"/>
                <w:color w:val="000000"/>
                <w:sz w:val="16"/>
                <w:szCs w:val="16"/>
              </w:rPr>
              <w:t>3</w:t>
            </w: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15</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高杆绿宝树</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大H1.7 P0.8</w:t>
            </w:r>
          </w:p>
        </w:tc>
        <w:tc>
          <w:tcPr>
            <w:tcW w:w="1528"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9"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富贵树</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超大H3.0 P2.0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17</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医疗急救室</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19</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5、7、9号门进门两侧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超大H1.8P1.0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5、7号门扶梯边</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也门铁</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中H0.8P0.6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21</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9号-T3连接处</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幸福树</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超大H3.0P2.0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22</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23</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T1B1-13登机口</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285" w:hRule="atLeast"/>
        </w:trPr>
        <w:tc>
          <w:tcPr>
            <w:tcW w:w="2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lang w:bidi="ar"/>
              </w:rPr>
              <w:t>T2三楼区域</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大门口高架桥入口</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罗汉松</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国际出发入口两侧（4处）</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造型水蜡</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H2.0 P1.5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T1-T2高架桥连接处</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造型榕树</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H2.0 P1.5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出发大厅靠出入口侧柱子前</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升降电梯旁（1号门）</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H0.8 P0.6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升降电梯旁（3号门）</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H0.8 P0.6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1号门进门指示牌两侧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红掌组合</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388"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托运行李检查室(3093、3094）</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发财树</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H1.7 P1.0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安检入口两侧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海关申报区靠机坪侧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富贵树</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特大H2.5 P1.5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联检大厅靠停机栏玻璃隔断</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琴叶榕</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大H1.8P1.5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13</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联检柱子前</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造型榕树</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H2.0 P2.0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15</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候机大厅柱子旁</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金山棕</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H2.0 P2.0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免税商场中间显示牌两侧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17</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A01-A08登机口（靠窗）</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H2.0 P1.0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17</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A09-A12登机口靠机坪</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夏威夷椰子</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H1.5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19</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中转厅内</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大H1.50P0.80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15</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21</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医疗急救室</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22</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T2口岸签证</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红叶朱蕉</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23</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25</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T2出发大厅立柱</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高山榕</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超大H3.0P1.5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285" w:hRule="atLeast"/>
        </w:trPr>
        <w:tc>
          <w:tcPr>
            <w:tcW w:w="2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T2到达区域</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迎宾通道右侧空地上</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构骨球</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特大H2.5 P2.0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大门口一侧（2处）</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造型水蜡</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H2.0 P1.5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杜鹃花</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花卉H0.75P0.7</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到达门口外（2处）</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一叶兰</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中H0.75P0.7</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到达大厅靠出入口侧柱子前</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高杆绿宝树</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波士顿蕨</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到达大厅导视图两侧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散尾葵</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H2.0 P1.5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升降电梯旁（2个）</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H0.8 P0.6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r>
              <w:rPr>
                <w:rFonts w:hint="eastAsia" w:ascii="宋体" w:hAnsi="宋体" w:cs="宋体"/>
                <w:color w:val="000000"/>
                <w:sz w:val="16"/>
                <w:szCs w:val="16"/>
              </w:rPr>
              <w:t>9</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H0.8 P0.6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到达出口两侧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高杆绿宝树</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中国边检大厅</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中国检验检疫</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13"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13</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T2到达夹层</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红叶朱蕉</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行李提取厅转盘</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375" w:hRule="atLeast"/>
        </w:trPr>
        <w:tc>
          <w:tcPr>
            <w:tcW w:w="2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lang w:bidi="ar"/>
              </w:rPr>
              <w:t>T3三楼区域</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大门外</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罗汉松</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超特大H3.0P1.8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13号门进门左侧扶梯边</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大H2.0P1.6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11号门进门左侧扶梯边</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大H2.0P1.6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11号门进门左侧自助值机柜台边</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4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大厅船型座椅（3组）</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如意</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 0.45 P0.45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安检门口两侧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螺纹铁</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195</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B3026室（安护部客检现场值班室）</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巴西美人</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中H0.75 P0.7</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 0.45 P0.45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15</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安检通道一侧（3个）</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大红掌组合</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13</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安检内大厅显示屏两侧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 0.45 P0.45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B95-98远机位</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22"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r>
              <w:rPr>
                <w:rFonts w:hint="eastAsia" w:ascii="宋体" w:hAnsi="宋体" w:cs="宋体"/>
                <w:color w:val="000000"/>
                <w:kern w:val="0"/>
                <w:sz w:val="16"/>
                <w:szCs w:val="16"/>
                <w:lang w:bidi="ar"/>
              </w:rPr>
              <w:t>15</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长指廊走廊通道两侧靠窗</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橡皮树</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超大H2.0 P1.8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长指廊第一个平行扶梯一侧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如意</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H0.5 P0.5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17</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长指廊第二个平行扶梯一侧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如意</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H0.5 P0.5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19</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医疗急救室</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21</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北走廊通道两侧靠窗</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橡皮树</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超大H2.0 P1.8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22</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北指廊第三个平行扶梯一侧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如意</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H0.5 P0.5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23</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北指廊到底扶梯两侧</w:t>
            </w:r>
          </w:p>
        </w:tc>
        <w:tc>
          <w:tcPr>
            <w:tcW w:w="15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小品组合</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澳洲杉盆景</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25</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26</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27</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B27-B32休息区</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28</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B27-B29休息区</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金心也门铁</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H0.7 P0.6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29</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红掌组合</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花卉H0.65 P0.75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30</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北指廊登机口指示牌上吊篮（共13只）</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 P0.45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65</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31</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中走廊通道两侧靠窗</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橡皮树</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超大H2.0 P1.8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32</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中指廊平行扶梯一侧</w:t>
            </w:r>
          </w:p>
        </w:tc>
        <w:tc>
          <w:tcPr>
            <w:tcW w:w="38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金心也门铁</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33</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34</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中指廊到底扶梯两侧</w:t>
            </w:r>
          </w:p>
        </w:tc>
        <w:tc>
          <w:tcPr>
            <w:tcW w:w="15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小品组合</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盆景榕</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35</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红星</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285"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r>
              <w:rPr>
                <w:rFonts w:hint="eastAsia" w:ascii="宋体" w:hAnsi="宋体" w:cs="宋体"/>
                <w:color w:val="000000"/>
                <w:sz w:val="16"/>
                <w:szCs w:val="16"/>
              </w:rPr>
              <w:t>36</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r>
              <w:rPr>
                <w:rFonts w:hint="eastAsia" w:ascii="宋体" w:hAnsi="宋体" w:cs="宋体"/>
                <w:color w:val="000000"/>
                <w:sz w:val="16"/>
                <w:szCs w:val="16"/>
              </w:rPr>
              <w:t>12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37</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中指廊到底休息区柱边</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126"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38</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B17-B19登机口休息区</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青叶也门铁</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H1.5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39</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B17-B19扶梯两侧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大红掌组合</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花卉H0.65 P0.75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219"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40</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中指廊登机口指示牌上吊篮（共4只）</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 P0.45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41</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T3公安现场值班室</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42</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H0.8 P0.7</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43</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如意</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44</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白掌</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花卉H0.65 P0.75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45</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46</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T3A1厦航贵宾休息室门口</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H1.8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285" w:hRule="atLeast"/>
        </w:trPr>
        <w:tc>
          <w:tcPr>
            <w:tcW w:w="2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T3到达区域</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自动扶梯转角处（2处）</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自动扶梯靠门口一侧（2处）</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行李转盘</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红掌组合</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H0.8 P0.7</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长龙航空公司行李查询处旁</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金边螺纹铁</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H1.2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行李查询台上</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蝴蝶兰组合</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高档花卉H0.8 P0.7</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T1-T3连接处</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也门铁</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H1.0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到达夹层区域中指廊圆弧靠窗一侧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P1.2</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到达夹层区域中指廊平行扶梯靠窗一侧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散尾葵</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H1.8 P1.5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到达夹层区域中指廊平行扶梯边</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巴西美人</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H0.7 P0.6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9"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233"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到达夹层区域北指廊平行扶梯靠窗一侧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H1.2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13</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到达夹层区域北指廊平行扶梯边</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巴西美人</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H0.7 P0.6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15</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到达夹层区域长指廊平行扶梯边（2处）</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巴西美人</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H0.7 P0.6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17</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到达夹层区域长指廊靠窗一侧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夏威夷椰子</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H1.5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幸福树</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超大H3.50P2.0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19</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P1.0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虎皮兰</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P1.0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21</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棕竹</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大H1.5P0.6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22</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北指廊与长指廊连接中空区</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散尾葵</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超大H4.5 P1.5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23</w:t>
            </w:r>
          </w:p>
        </w:tc>
        <w:tc>
          <w:tcPr>
            <w:tcW w:w="20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监控室</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夏威夷椰子</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H1.5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25</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袖珍椰子</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H0.7 P0.6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26</w:t>
            </w:r>
          </w:p>
        </w:tc>
        <w:tc>
          <w:tcPr>
            <w:tcW w:w="20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27</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广播室</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28</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广播值班室</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29</w:t>
            </w:r>
          </w:p>
        </w:tc>
        <w:tc>
          <w:tcPr>
            <w:tcW w:w="2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B34出口通道</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金边也门铁</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H0.8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r>
    </w:tbl>
    <w:p>
      <w:pPr>
        <w:adjustRightInd w:val="0"/>
        <w:snapToGrid w:val="0"/>
        <w:spacing w:line="360" w:lineRule="auto"/>
        <w:rPr>
          <w:rFonts w:ascii="黑体" w:hAnsi="黑体" w:eastAsia="黑体" w:cs="黑体"/>
          <w:kern w:val="0"/>
          <w:sz w:val="22"/>
        </w:rPr>
      </w:pPr>
      <w:r>
        <w:rPr>
          <w:rFonts w:hint="eastAsia" w:ascii="黑体" w:hAnsi="黑体" w:eastAsia="黑体" w:cs="黑体"/>
          <w:sz w:val="22"/>
        </w:rPr>
        <w:t>四、用于营造春节氛围的绿化布置清单（摆放2个月）</w:t>
      </w:r>
    </w:p>
    <w:tbl>
      <w:tblPr>
        <w:tblStyle w:val="89"/>
        <w:tblW w:w="9442" w:type="dxa"/>
        <w:tblInd w:w="0" w:type="dxa"/>
        <w:tblLayout w:type="fixed"/>
        <w:tblCellMar>
          <w:top w:w="15" w:type="dxa"/>
          <w:left w:w="15" w:type="dxa"/>
          <w:bottom w:w="15" w:type="dxa"/>
          <w:right w:w="15" w:type="dxa"/>
        </w:tblCellMar>
      </w:tblPr>
      <w:tblGrid>
        <w:gridCol w:w="779"/>
        <w:gridCol w:w="2210"/>
        <w:gridCol w:w="1581"/>
        <w:gridCol w:w="2252"/>
        <w:gridCol w:w="1528"/>
        <w:gridCol w:w="1092"/>
      </w:tblGrid>
      <w:tr>
        <w:tblPrEx>
          <w:tblLayout w:type="fixed"/>
          <w:tblCellMar>
            <w:top w:w="15" w:type="dxa"/>
            <w:left w:w="15" w:type="dxa"/>
            <w:bottom w:w="15" w:type="dxa"/>
            <w:right w:w="15" w:type="dxa"/>
          </w:tblCellMar>
        </w:tblPrEx>
        <w:trPr>
          <w:trHeight w:val="474"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微软雅黑" w:hAnsi="微软雅黑" w:eastAsia="微软雅黑" w:cs="微软雅黑"/>
                <w:color w:val="000000"/>
                <w:kern w:val="0"/>
                <w:sz w:val="16"/>
                <w:szCs w:val="16"/>
                <w:lang w:bidi="ar"/>
              </w:rPr>
              <w:t>序号</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微软雅黑" w:hAnsi="微软雅黑" w:eastAsia="微软雅黑" w:cs="微软雅黑"/>
                <w:color w:val="000000"/>
                <w:kern w:val="0"/>
                <w:sz w:val="16"/>
                <w:szCs w:val="16"/>
                <w:lang w:bidi="ar"/>
              </w:rPr>
              <w:t>位置</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微软雅黑" w:hAnsi="微软雅黑" w:eastAsia="微软雅黑" w:cs="微软雅黑"/>
                <w:color w:val="000000"/>
                <w:kern w:val="0"/>
                <w:sz w:val="16"/>
                <w:szCs w:val="16"/>
                <w:lang w:bidi="ar"/>
              </w:rPr>
              <w:t>品种</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微软雅黑" w:hAnsi="微软雅黑" w:eastAsia="微软雅黑" w:cs="微软雅黑"/>
                <w:color w:val="000000"/>
                <w:kern w:val="0"/>
                <w:sz w:val="16"/>
                <w:szCs w:val="16"/>
                <w:lang w:bidi="ar"/>
              </w:rPr>
              <w:t>规格（M）</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微软雅黑" w:hAnsi="微软雅黑" w:eastAsia="微软雅黑" w:cs="微软雅黑"/>
                <w:color w:val="000000"/>
                <w:kern w:val="0"/>
                <w:sz w:val="16"/>
                <w:szCs w:val="16"/>
                <w:lang w:bidi="ar"/>
              </w:rPr>
              <w:t>数量（盆）</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微软雅黑" w:hAnsi="微软雅黑" w:eastAsia="微软雅黑" w:cs="微软雅黑"/>
                <w:color w:val="000000"/>
                <w:kern w:val="0"/>
                <w:sz w:val="16"/>
                <w:szCs w:val="16"/>
                <w:lang w:bidi="ar"/>
              </w:rPr>
              <w:t>花器供应</w:t>
            </w:r>
          </w:p>
        </w:tc>
      </w:tr>
      <w:tr>
        <w:tblPrEx>
          <w:tblLayout w:type="fixed"/>
          <w:tblCellMar>
            <w:top w:w="15" w:type="dxa"/>
            <w:left w:w="15" w:type="dxa"/>
            <w:bottom w:w="15" w:type="dxa"/>
            <w:right w:w="15" w:type="dxa"/>
          </w:tblCellMar>
        </w:tblPrEx>
        <w:trPr>
          <w:trHeight w:val="9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宋体" w:hAnsi="宋体" w:cs="宋体"/>
                <w:color w:val="000000"/>
                <w:kern w:val="0"/>
                <w:sz w:val="16"/>
                <w:szCs w:val="16"/>
                <w:lang w:bidi="ar"/>
              </w:rPr>
              <w:t>1</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T1安检口柱子两侧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宋体" w:hAnsi="宋体" w:cs="宋体"/>
                <w:color w:val="000000"/>
                <w:kern w:val="0"/>
                <w:sz w:val="16"/>
                <w:szCs w:val="16"/>
                <w:lang w:bidi="ar"/>
              </w:rPr>
              <w:t>大花蕙兰组合</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宋体" w:hAnsi="宋体" w:cs="宋体"/>
                <w:color w:val="000000"/>
                <w:kern w:val="0"/>
                <w:sz w:val="16"/>
                <w:szCs w:val="16"/>
                <w:lang w:bidi="ar"/>
              </w:rPr>
              <w:t>H1.0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宋体" w:hAnsi="宋体" w:cs="宋体"/>
                <w:color w:val="000000"/>
                <w:kern w:val="0"/>
                <w:sz w:val="16"/>
                <w:szCs w:val="16"/>
                <w:lang w:bidi="ar"/>
              </w:rPr>
              <w:t>16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2</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T2航站楼2楼边检两侧</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大花蕙兰组合</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H1.0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3</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T2航站楼1楼到达出口</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大花蕙兰组合</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H1.0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4</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T2航站楼1楼到达出口</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杜鹃</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H0.7 P0.45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10</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5</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T3航站楼大厅安检外柱子边</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大花蕙兰组合</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H1.0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6</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T3航站楼大厅安检外柱子边</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杜鹃</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H0.7 P0.45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24</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7</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T3航站楼大厅安检外侧护栏边</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大花蕙兰</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H1.0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w:t>
            </w:r>
          </w:p>
        </w:tc>
      </w:tr>
      <w:tr>
        <w:tblPrEx>
          <w:tblLayout w:type="fixed"/>
          <w:tblCellMar>
            <w:top w:w="15" w:type="dxa"/>
            <w:left w:w="15" w:type="dxa"/>
            <w:bottom w:w="15" w:type="dxa"/>
            <w:right w:w="15" w:type="dxa"/>
          </w:tblCellMar>
        </w:tblPrEx>
        <w:trPr>
          <w:trHeight w:val="90" w:hRule="atLeast"/>
        </w:trPr>
        <w:tc>
          <w:tcPr>
            <w:tcW w:w="7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8</w:t>
            </w:r>
          </w:p>
        </w:tc>
        <w:tc>
          <w:tcPr>
            <w:tcW w:w="22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T3航站楼1楼到达出口</w:t>
            </w:r>
          </w:p>
        </w:tc>
        <w:tc>
          <w:tcPr>
            <w:tcW w:w="15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大花蕙兰</w:t>
            </w:r>
          </w:p>
        </w:tc>
        <w:tc>
          <w:tcPr>
            <w:tcW w:w="225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H1.0 P0.8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8</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w:t>
            </w:r>
          </w:p>
        </w:tc>
      </w:tr>
    </w:tbl>
    <w:p>
      <w:pPr>
        <w:adjustRightInd w:val="0"/>
        <w:snapToGrid w:val="0"/>
        <w:spacing w:line="360" w:lineRule="auto"/>
        <w:rPr>
          <w:rFonts w:ascii="宋体" w:hAnsi="宋体" w:cs="宋体"/>
          <w:b/>
          <w:bCs/>
          <w:kern w:val="0"/>
          <w:sz w:val="22"/>
        </w:rPr>
      </w:pPr>
    </w:p>
    <w:p>
      <w:pPr>
        <w:adjustRightInd w:val="0"/>
        <w:snapToGrid w:val="0"/>
        <w:spacing w:line="360" w:lineRule="auto"/>
        <w:ind w:firstLine="442"/>
        <w:outlineLvl w:val="2"/>
        <w:rPr>
          <w:rFonts w:ascii="宋体" w:hAnsi="宋体" w:cs="宋体"/>
          <w:b/>
          <w:bCs/>
          <w:kern w:val="0"/>
          <w:sz w:val="22"/>
        </w:rPr>
      </w:pPr>
      <w:r>
        <w:rPr>
          <w:rFonts w:hint="eastAsia" w:ascii="宋体" w:hAnsi="宋体" w:cs="宋体"/>
          <w:b/>
          <w:bCs/>
          <w:kern w:val="0"/>
          <w:sz w:val="22"/>
        </w:rPr>
        <w:t>2.2航站楼固定及节假日花堆租摆</w:t>
      </w:r>
    </w:p>
    <w:p>
      <w:pPr>
        <w:adjustRightInd w:val="0"/>
        <w:snapToGrid w:val="0"/>
        <w:spacing w:line="360" w:lineRule="auto"/>
        <w:ind w:firstLine="440"/>
        <w:rPr>
          <w:rFonts w:ascii="宋体" w:hAnsi="宋体" w:cs="宋体"/>
          <w:kern w:val="0"/>
          <w:sz w:val="22"/>
        </w:rPr>
      </w:pPr>
      <w:r>
        <w:rPr>
          <w:rFonts w:hint="eastAsia" w:ascii="宋体" w:hAnsi="宋体" w:cs="宋体"/>
          <w:kern w:val="0"/>
          <w:sz w:val="22"/>
        </w:rPr>
        <w:t>2.2.1航站楼绿化景观花堆租摆分为固定花堆和节假日花堆（花堆点位可按照招标人意愿无条件调整），固定花堆点位不少于8处，每个点位一年摆放7个月。节假日花堆点位不少于11处，每个点位一年摆放共5个月（含五一、国庆、元旦、春节，其中每年的养护期五一、国庆、元旦周期按30日历天计算，春节按60日历天计算），花堆点位见下表。</w:t>
      </w:r>
    </w:p>
    <w:p>
      <w:pPr>
        <w:widowControl/>
        <w:adjustRightInd w:val="0"/>
        <w:snapToGrid w:val="0"/>
        <w:spacing w:line="360" w:lineRule="auto"/>
        <w:ind w:firstLine="440"/>
        <w:jc w:val="center"/>
        <w:rPr>
          <w:rFonts w:ascii="黑体" w:hAnsi="黑体" w:eastAsia="黑体" w:cs="黑体"/>
          <w:kern w:val="0"/>
          <w:sz w:val="22"/>
        </w:rPr>
      </w:pPr>
      <w:r>
        <w:rPr>
          <w:rFonts w:hint="eastAsia" w:ascii="黑体" w:hAnsi="黑体" w:eastAsia="黑体" w:cs="黑体"/>
          <w:kern w:val="0"/>
          <w:sz w:val="22"/>
        </w:rPr>
        <w:t>表2：花堆点位清单</w:t>
      </w:r>
    </w:p>
    <w:tbl>
      <w:tblPr>
        <w:tblStyle w:val="90"/>
        <w:tblW w:w="98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750"/>
        <w:gridCol w:w="2354"/>
        <w:gridCol w:w="727"/>
        <w:gridCol w:w="2296"/>
        <w:gridCol w:w="1315"/>
        <w:gridCol w:w="1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59" w:type="dxa"/>
            <w:vAlign w:val="center"/>
          </w:tcPr>
          <w:p>
            <w:pPr>
              <w:pStyle w:val="2"/>
              <w:ind w:firstLine="0" w:firstLineChars="0"/>
              <w:rPr>
                <w:rFonts w:ascii="仿宋_GB2312" w:hAnsi="仿宋_GB2312" w:eastAsia="仿宋_GB2312" w:cs="仿宋_GB2312"/>
                <w:b/>
                <w:bCs/>
                <w:color w:val="000000"/>
                <w:kern w:val="0"/>
                <w:sz w:val="22"/>
                <w:szCs w:val="22"/>
                <w:lang w:bidi="ar"/>
              </w:rPr>
            </w:pPr>
            <w:r>
              <w:rPr>
                <w:rFonts w:hint="eastAsia" w:ascii="仿宋_GB2312" w:hAnsi="仿宋_GB2312" w:eastAsia="仿宋_GB2312" w:cs="仿宋_GB2312"/>
                <w:b/>
                <w:bCs/>
                <w:color w:val="000000"/>
                <w:kern w:val="0"/>
                <w:sz w:val="22"/>
                <w:szCs w:val="22"/>
                <w:lang w:bidi="ar"/>
              </w:rPr>
              <w:t>花堆</w:t>
            </w:r>
          </w:p>
        </w:tc>
        <w:tc>
          <w:tcPr>
            <w:tcW w:w="750" w:type="dxa"/>
            <w:vAlign w:val="center"/>
          </w:tcPr>
          <w:p>
            <w:pPr>
              <w:pStyle w:val="2"/>
              <w:ind w:firstLine="0" w:firstLineChars="0"/>
              <w:jc w:val="center"/>
              <w:rPr>
                <w:rFonts w:ascii="仿宋_GB2312" w:hAnsi="仿宋_GB2312" w:eastAsia="仿宋_GB2312" w:cs="仿宋_GB2312"/>
                <w:b/>
                <w:bCs/>
                <w:color w:val="000000"/>
                <w:kern w:val="0"/>
                <w:sz w:val="22"/>
                <w:szCs w:val="22"/>
                <w:lang w:bidi="ar"/>
              </w:rPr>
            </w:pPr>
            <w:r>
              <w:rPr>
                <w:rFonts w:hint="eastAsia" w:ascii="仿宋_GB2312" w:hAnsi="仿宋_GB2312" w:eastAsia="仿宋_GB2312" w:cs="仿宋_GB2312"/>
                <w:b/>
                <w:bCs/>
                <w:color w:val="000000"/>
                <w:kern w:val="0"/>
                <w:sz w:val="22"/>
                <w:szCs w:val="22"/>
                <w:lang w:bidi="ar"/>
              </w:rPr>
              <w:t>摆放时间</w:t>
            </w:r>
          </w:p>
        </w:tc>
        <w:tc>
          <w:tcPr>
            <w:tcW w:w="2354" w:type="dxa"/>
            <w:vAlign w:val="center"/>
          </w:tcPr>
          <w:p>
            <w:pPr>
              <w:pStyle w:val="2"/>
              <w:ind w:firstLine="0" w:firstLineChars="0"/>
              <w:jc w:val="center"/>
              <w:rPr>
                <w:rFonts w:ascii="仿宋_GB2312" w:hAnsi="仿宋_GB2312" w:eastAsia="仿宋_GB2312" w:cs="仿宋_GB2312"/>
                <w:b/>
                <w:bCs/>
                <w:color w:val="000000"/>
                <w:kern w:val="0"/>
                <w:sz w:val="22"/>
                <w:szCs w:val="22"/>
                <w:lang w:bidi="ar"/>
              </w:rPr>
            </w:pPr>
            <w:r>
              <w:rPr>
                <w:rFonts w:hint="eastAsia" w:ascii="仿宋_GB2312" w:hAnsi="仿宋_GB2312" w:eastAsia="仿宋_GB2312" w:cs="仿宋_GB2312"/>
                <w:b/>
                <w:bCs/>
                <w:color w:val="000000"/>
                <w:kern w:val="0"/>
                <w:sz w:val="22"/>
                <w:szCs w:val="22"/>
                <w:lang w:bidi="ar"/>
              </w:rPr>
              <w:t>摆放地点</w:t>
            </w:r>
          </w:p>
        </w:tc>
        <w:tc>
          <w:tcPr>
            <w:tcW w:w="727" w:type="dxa"/>
            <w:vAlign w:val="center"/>
          </w:tcPr>
          <w:p>
            <w:pPr>
              <w:pStyle w:val="2"/>
              <w:ind w:firstLine="0" w:firstLineChars="0"/>
              <w:jc w:val="center"/>
              <w:rPr>
                <w:rFonts w:ascii="仿宋_GB2312" w:hAnsi="仿宋_GB2312" w:eastAsia="仿宋_GB2312" w:cs="仿宋_GB2312"/>
                <w:b/>
                <w:bCs/>
                <w:color w:val="000000"/>
                <w:kern w:val="0"/>
                <w:sz w:val="22"/>
                <w:szCs w:val="22"/>
                <w:lang w:bidi="ar"/>
              </w:rPr>
            </w:pPr>
            <w:r>
              <w:rPr>
                <w:rFonts w:hint="eastAsia" w:ascii="仿宋_GB2312" w:hAnsi="仿宋_GB2312" w:eastAsia="仿宋_GB2312" w:cs="仿宋_GB2312"/>
                <w:b/>
                <w:bCs/>
                <w:color w:val="000000"/>
                <w:kern w:val="0"/>
                <w:sz w:val="22"/>
                <w:szCs w:val="22"/>
                <w:lang w:bidi="ar"/>
              </w:rPr>
              <w:t>面积</w:t>
            </w:r>
          </w:p>
          <w:p>
            <w:pPr>
              <w:pStyle w:val="2"/>
              <w:ind w:firstLine="0" w:firstLineChars="0"/>
              <w:jc w:val="center"/>
              <w:rPr>
                <w:rFonts w:ascii="仿宋_GB2312" w:hAnsi="仿宋_GB2312" w:eastAsia="仿宋_GB2312" w:cs="仿宋_GB2312"/>
                <w:b/>
                <w:bCs/>
                <w:color w:val="000000"/>
                <w:kern w:val="0"/>
                <w:sz w:val="22"/>
                <w:szCs w:val="22"/>
                <w:lang w:bidi="ar"/>
              </w:rPr>
            </w:pPr>
            <w:r>
              <w:rPr>
                <w:rFonts w:hint="eastAsia" w:ascii="仿宋_GB2312" w:hAnsi="仿宋_GB2312" w:eastAsia="仿宋_GB2312" w:cs="仿宋_GB2312"/>
                <w:b/>
                <w:bCs/>
                <w:color w:val="000000"/>
                <w:kern w:val="0"/>
                <w:sz w:val="22"/>
                <w:szCs w:val="22"/>
                <w:lang w:bidi="ar"/>
              </w:rPr>
              <w:t>㎡</w:t>
            </w:r>
          </w:p>
        </w:tc>
        <w:tc>
          <w:tcPr>
            <w:tcW w:w="2296" w:type="dxa"/>
            <w:vAlign w:val="center"/>
          </w:tcPr>
          <w:p>
            <w:pPr>
              <w:pStyle w:val="2"/>
              <w:ind w:firstLine="0" w:firstLineChars="0"/>
              <w:jc w:val="center"/>
              <w:rPr>
                <w:rFonts w:ascii="仿宋_GB2312" w:hAnsi="仿宋_GB2312" w:eastAsia="仿宋_GB2312" w:cs="仿宋_GB2312"/>
                <w:b/>
                <w:bCs/>
                <w:color w:val="000000"/>
                <w:kern w:val="0"/>
                <w:sz w:val="22"/>
                <w:szCs w:val="22"/>
                <w:lang w:bidi="ar"/>
              </w:rPr>
            </w:pPr>
            <w:r>
              <w:rPr>
                <w:rFonts w:ascii="仿宋_GB2312" w:hAnsi="仿宋_GB2312" w:eastAsia="仿宋_GB2312" w:cs="仿宋_GB2312"/>
                <w:color w:val="000000"/>
                <w:kern w:val="0"/>
                <w:sz w:val="22"/>
                <w:szCs w:val="22"/>
                <w:lang w:bidi="ar"/>
              </w:rPr>
              <w:t>单个花堆</w:t>
            </w:r>
          </w:p>
        </w:tc>
        <w:tc>
          <w:tcPr>
            <w:tcW w:w="1315" w:type="dxa"/>
            <w:vAlign w:val="center"/>
          </w:tcPr>
          <w:p>
            <w:pPr>
              <w:widowControl/>
              <w:jc w:val="left"/>
              <w:textAlignment w:val="center"/>
              <w:rPr>
                <w:rFonts w:ascii="仿宋_GB2312" w:hAnsi="仿宋_GB2312" w:eastAsia="仿宋_GB2312" w:cs="仿宋_GB2312"/>
                <w:b/>
                <w:bCs/>
                <w:color w:val="000000"/>
                <w:kern w:val="0"/>
                <w:sz w:val="22"/>
                <w:lang w:bidi="ar"/>
              </w:rPr>
            </w:pPr>
            <w:r>
              <w:rPr>
                <w:rFonts w:hint="eastAsia" w:ascii="仿宋_GB2312" w:hAnsi="仿宋_GB2312" w:eastAsia="仿宋_GB2312" w:cs="仿宋_GB2312"/>
                <w:color w:val="000000"/>
                <w:kern w:val="0"/>
                <w:sz w:val="22"/>
                <w:lang w:bidi="ar"/>
              </w:rPr>
              <w:t>造型</w:t>
            </w:r>
            <w:r>
              <w:rPr>
                <w:rFonts w:hint="eastAsia" w:ascii="仿宋_GB2312" w:hAnsi="仿宋_GB2312" w:eastAsia="仿宋_GB2312" w:cs="仿宋_GB2312"/>
                <w:b/>
                <w:bCs/>
                <w:color w:val="000000"/>
                <w:kern w:val="0"/>
                <w:sz w:val="22"/>
                <w:lang w:bidi="ar"/>
              </w:rPr>
              <w:t>更换</w:t>
            </w:r>
          </w:p>
          <w:p>
            <w:pPr>
              <w:widowControl/>
              <w:jc w:val="left"/>
              <w:textAlignment w:val="center"/>
              <w:rPr>
                <w:rFonts w:ascii="仿宋_GB2312" w:hAnsi="仿宋_GB2312" w:eastAsia="仿宋_GB2312" w:cs="仿宋_GB2312"/>
                <w:b/>
                <w:bCs/>
                <w:color w:val="000000"/>
                <w:kern w:val="0"/>
                <w:sz w:val="22"/>
                <w:lang w:bidi="ar"/>
              </w:rPr>
            </w:pPr>
            <w:r>
              <w:rPr>
                <w:rFonts w:hint="eastAsia" w:ascii="仿宋_GB2312" w:hAnsi="仿宋_GB2312" w:eastAsia="仿宋_GB2312" w:cs="仿宋_GB2312"/>
                <w:b/>
                <w:bCs/>
                <w:color w:val="000000"/>
                <w:kern w:val="0"/>
                <w:sz w:val="22"/>
                <w:lang w:bidi="ar"/>
              </w:rPr>
              <w:t>频率</w:t>
            </w:r>
          </w:p>
        </w:tc>
        <w:tc>
          <w:tcPr>
            <w:tcW w:w="1650" w:type="dxa"/>
            <w:vAlign w:val="center"/>
          </w:tcPr>
          <w:p>
            <w:pPr>
              <w:widowControl/>
              <w:ind w:firstLine="504"/>
              <w:jc w:val="left"/>
              <w:textAlignment w:val="center"/>
              <w:rPr>
                <w:rFonts w:ascii="仿宋_GB2312" w:hAnsi="仿宋_GB2312" w:eastAsia="仿宋_GB2312" w:cs="仿宋_GB2312"/>
                <w:b/>
                <w:bCs/>
                <w:color w:val="000000"/>
                <w:kern w:val="0"/>
                <w:sz w:val="22"/>
                <w:lang w:bidi="ar"/>
              </w:rPr>
            </w:pPr>
            <w:r>
              <w:rPr>
                <w:rFonts w:hint="eastAsia" w:ascii="仿宋_GB2312" w:hAnsi="仿宋_GB2312" w:eastAsia="仿宋_GB2312" w:cs="仿宋_GB2312"/>
                <w:b/>
                <w:bCs/>
                <w:color w:val="000000"/>
                <w:kern w:val="0"/>
                <w:sz w:val="22"/>
                <w:lang w:bidi="ar"/>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 w:hRule="atLeast"/>
        </w:trPr>
        <w:tc>
          <w:tcPr>
            <w:tcW w:w="759" w:type="dxa"/>
            <w:vMerge w:val="restart"/>
            <w:vAlign w:val="center"/>
          </w:tcPr>
          <w:p>
            <w:pPr>
              <w:pStyle w:val="2"/>
              <w:ind w:firstLine="0" w:firstLineChars="0"/>
            </w:pPr>
            <w:r>
              <w:rPr>
                <w:rFonts w:hint="eastAsia" w:ascii="仿宋_GB2312" w:hAnsi="仿宋_GB2312" w:eastAsia="仿宋_GB2312" w:cs="仿宋_GB2312"/>
                <w:b/>
                <w:bCs/>
                <w:color w:val="000000"/>
                <w:kern w:val="0"/>
                <w:sz w:val="22"/>
                <w:szCs w:val="22"/>
                <w:lang w:bidi="ar"/>
              </w:rPr>
              <w:t>固定花堆</w:t>
            </w:r>
          </w:p>
        </w:tc>
        <w:tc>
          <w:tcPr>
            <w:tcW w:w="750" w:type="dxa"/>
            <w:vMerge w:val="restart"/>
            <w:vAlign w:val="center"/>
          </w:tcPr>
          <w:p>
            <w:pPr>
              <w:pStyle w:val="2"/>
              <w:ind w:firstLine="0" w:firstLineChars="0"/>
              <w:jc w:val="center"/>
            </w:pPr>
            <w:r>
              <w:rPr>
                <w:rFonts w:hint="eastAsia" w:ascii="仿宋_GB2312" w:hAnsi="仿宋_GB2312" w:eastAsia="仿宋_GB2312" w:cs="仿宋_GB2312"/>
                <w:b/>
                <w:bCs/>
                <w:color w:val="000000"/>
                <w:kern w:val="0"/>
                <w:sz w:val="22"/>
                <w:szCs w:val="22"/>
                <w:lang w:bidi="ar"/>
              </w:rPr>
              <w:t>7个月</w:t>
            </w: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T3到达琉璃墙花堆</w:t>
            </w:r>
          </w:p>
        </w:tc>
        <w:tc>
          <w:tcPr>
            <w:tcW w:w="727" w:type="dxa"/>
            <w:vMerge w:val="restart"/>
            <w:vAlign w:val="center"/>
          </w:tcPr>
          <w:p>
            <w:pPr>
              <w:widowControl/>
              <w:jc w:val="center"/>
              <w:textAlignment w:val="center"/>
              <w:rPr>
                <w:rFonts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30</w:t>
            </w:r>
          </w:p>
        </w:tc>
        <w:tc>
          <w:tcPr>
            <w:tcW w:w="2296" w:type="dxa"/>
            <w:vMerge w:val="restart"/>
            <w:vAlign w:val="center"/>
          </w:tcPr>
          <w:p>
            <w:pPr>
              <w:widowControl/>
              <w:jc w:val="left"/>
              <w:textAlignment w:val="center"/>
              <w:rPr>
                <w:rFonts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植物</w:t>
            </w:r>
            <w:r>
              <w:rPr>
                <w:rFonts w:ascii="仿宋_GB2312" w:hAnsi="仿宋_GB2312" w:eastAsia="仿宋_GB2312" w:cs="仿宋_GB2312"/>
                <w:color w:val="000000"/>
                <w:kern w:val="0"/>
                <w:sz w:val="22"/>
                <w:lang w:bidi="ar"/>
              </w:rPr>
              <w:t>不少于</w:t>
            </w:r>
            <w:r>
              <w:rPr>
                <w:rFonts w:hint="eastAsia" w:ascii="仿宋_GB2312" w:hAnsi="仿宋_GB2312" w:eastAsia="仿宋_GB2312" w:cs="仿宋_GB2312"/>
                <w:color w:val="000000"/>
                <w:kern w:val="0"/>
                <w:sz w:val="22"/>
                <w:lang w:bidi="ar"/>
              </w:rPr>
              <w:t>3</w:t>
            </w:r>
            <w:r>
              <w:rPr>
                <w:rFonts w:ascii="仿宋_GB2312" w:hAnsi="仿宋_GB2312" w:eastAsia="仿宋_GB2312" w:cs="仿宋_GB2312"/>
                <w:color w:val="000000"/>
                <w:kern w:val="0"/>
                <w:sz w:val="22"/>
                <w:lang w:bidi="ar"/>
              </w:rPr>
              <w:t>种，艳丽高档花卉品种不少于</w:t>
            </w:r>
            <w:r>
              <w:rPr>
                <w:rFonts w:hint="eastAsia" w:ascii="仿宋_GB2312" w:hAnsi="仿宋_GB2312" w:eastAsia="仿宋_GB2312" w:cs="仿宋_GB2312"/>
                <w:color w:val="000000"/>
                <w:kern w:val="0"/>
                <w:sz w:val="22"/>
                <w:lang w:bidi="ar"/>
              </w:rPr>
              <w:t>1</w:t>
            </w:r>
            <w:r>
              <w:rPr>
                <w:rFonts w:ascii="仿宋_GB2312" w:hAnsi="仿宋_GB2312" w:eastAsia="仿宋_GB2312" w:cs="仿宋_GB2312"/>
                <w:color w:val="000000"/>
                <w:kern w:val="0"/>
                <w:sz w:val="22"/>
                <w:lang w:bidi="ar"/>
              </w:rPr>
              <w:t>种，总量不少于4</w:t>
            </w:r>
            <w:r>
              <w:rPr>
                <w:rFonts w:hint="eastAsia" w:ascii="仿宋_GB2312" w:hAnsi="仿宋_GB2312" w:eastAsia="仿宋_GB2312" w:cs="仿宋_GB2312"/>
                <w:color w:val="000000"/>
                <w:kern w:val="0"/>
                <w:sz w:val="22"/>
                <w:lang w:bidi="ar"/>
              </w:rPr>
              <w:t>8</w:t>
            </w:r>
            <w:r>
              <w:rPr>
                <w:rFonts w:ascii="仿宋_GB2312" w:hAnsi="仿宋_GB2312" w:eastAsia="仿宋_GB2312" w:cs="仿宋_GB2312"/>
                <w:color w:val="000000"/>
                <w:kern w:val="0"/>
                <w:sz w:val="22"/>
                <w:lang w:bidi="ar"/>
              </w:rPr>
              <w:t>0盆</w:t>
            </w:r>
            <w:r>
              <w:rPr>
                <w:rFonts w:hint="eastAsia" w:ascii="仿宋_GB2312" w:hAnsi="仿宋_GB2312" w:eastAsia="仿宋_GB2312" w:cs="仿宋_GB2312"/>
                <w:color w:val="000000"/>
                <w:kern w:val="0"/>
                <w:sz w:val="22"/>
                <w:lang w:bidi="ar"/>
              </w:rPr>
              <w:t>。</w:t>
            </w:r>
          </w:p>
          <w:p>
            <w:pPr>
              <w:widowControl/>
              <w:jc w:val="left"/>
              <w:textAlignment w:val="center"/>
              <w:rPr>
                <w:rFonts w:ascii="仿宋_GB2312" w:hAnsi="仿宋_GB2312" w:eastAsia="仿宋_GB2312" w:cs="仿宋_GB2312"/>
                <w:color w:val="000000"/>
                <w:kern w:val="0"/>
                <w:sz w:val="22"/>
                <w:lang w:bidi="ar"/>
              </w:rPr>
            </w:pPr>
          </w:p>
        </w:tc>
        <w:tc>
          <w:tcPr>
            <w:tcW w:w="1315" w:type="dxa"/>
            <w:vMerge w:val="restart"/>
            <w:vAlign w:val="center"/>
          </w:tcPr>
          <w:p>
            <w:pPr>
              <w:pStyle w:val="2"/>
              <w:ind w:firstLine="0" w:firstLineChars="0"/>
              <w:jc w:val="center"/>
            </w:pPr>
            <w:r>
              <w:rPr>
                <w:rFonts w:ascii="仿宋_GB2312" w:hAnsi="仿宋_GB2312" w:eastAsia="仿宋_GB2312" w:cs="仿宋_GB2312"/>
                <w:color w:val="000000"/>
                <w:kern w:val="0"/>
                <w:sz w:val="22"/>
                <w:szCs w:val="22"/>
                <w:lang w:bidi="ar"/>
              </w:rPr>
              <w:t>每季度更换一次</w:t>
            </w:r>
          </w:p>
        </w:tc>
        <w:tc>
          <w:tcPr>
            <w:tcW w:w="1650" w:type="dxa"/>
            <w:vMerge w:val="restart"/>
            <w:vAlign w:val="center"/>
          </w:tcPr>
          <w:p>
            <w:pPr>
              <w:pStyle w:val="2"/>
              <w:ind w:firstLine="0" w:firstLineChars="0"/>
              <w:jc w:val="center"/>
              <w:rPr>
                <w:rFonts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名贵花卉不少于30%；</w:t>
            </w:r>
          </w:p>
          <w:p>
            <w:pPr>
              <w:pStyle w:val="2"/>
              <w:ind w:firstLine="0" w:firstLineChars="0"/>
              <w:jc w:val="center"/>
              <w:rPr>
                <w:rFonts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时令花卉不少于40%；</w:t>
            </w:r>
          </w:p>
          <w:p>
            <w:pPr>
              <w:pStyle w:val="2"/>
              <w:ind w:firstLine="0" w:firstLineChars="0"/>
              <w:jc w:val="center"/>
              <w:rPr>
                <w:rFonts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绿植不少于30%</w:t>
            </w:r>
          </w:p>
          <w:p>
            <w:pPr>
              <w:pStyle w:val="2"/>
              <w:ind w:firstLine="0" w:firstLineChars="0"/>
              <w:jc w:val="center"/>
              <w:rPr>
                <w:rFonts w:ascii="仿宋_GB2312" w:hAnsi="仿宋_GB2312" w:eastAsia="仿宋_GB2312" w:cs="仿宋_GB2312"/>
                <w:color w:val="000000"/>
                <w:kern w:val="0"/>
                <w:sz w:val="22"/>
                <w:szCs w:val="22"/>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7" w:hRule="atLeast"/>
        </w:trPr>
        <w:tc>
          <w:tcPr>
            <w:tcW w:w="759"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rPr>
                <w:rFonts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T3到达文化墙花堆</w:t>
            </w:r>
          </w:p>
        </w:tc>
        <w:tc>
          <w:tcPr>
            <w:tcW w:w="727" w:type="dxa"/>
            <w:vMerge w:val="continue"/>
            <w:vAlign w:val="center"/>
          </w:tcPr>
          <w:p>
            <w:pPr>
              <w:widowControl/>
              <w:jc w:val="center"/>
              <w:textAlignment w:val="center"/>
              <w:rPr>
                <w:rFonts w:ascii="仿宋_GB2312" w:hAnsi="仿宋_GB2312" w:eastAsia="仿宋_GB2312" w:cs="仿宋_GB2312"/>
                <w:color w:val="000000"/>
                <w:kern w:val="0"/>
                <w:sz w:val="22"/>
                <w:lang w:bidi="ar"/>
              </w:rPr>
            </w:pPr>
          </w:p>
        </w:tc>
        <w:tc>
          <w:tcPr>
            <w:tcW w:w="2296" w:type="dxa"/>
            <w:vMerge w:val="continue"/>
            <w:vAlign w:val="center"/>
          </w:tcPr>
          <w:p>
            <w:pPr>
              <w:pStyle w:val="2"/>
              <w:ind w:firstLine="0" w:firstLineChars="0"/>
              <w:jc w:val="left"/>
              <w:rPr>
                <w:rFonts w:ascii="仿宋_GB2312" w:hAnsi="仿宋_GB2312" w:eastAsia="仿宋_GB2312" w:cs="仿宋_GB2312"/>
                <w:color w:val="000000"/>
                <w:kern w:val="0"/>
                <w:sz w:val="22"/>
                <w:szCs w:val="22"/>
                <w:lang w:bidi="ar"/>
              </w:rP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759"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T3到达夹层花堆</w:t>
            </w:r>
          </w:p>
        </w:tc>
        <w:tc>
          <w:tcPr>
            <w:tcW w:w="727" w:type="dxa"/>
            <w:vMerge w:val="continue"/>
            <w:vAlign w:val="center"/>
          </w:tcPr>
          <w:p>
            <w:pPr>
              <w:widowControl/>
              <w:jc w:val="center"/>
              <w:textAlignment w:val="center"/>
              <w:rPr>
                <w:rFonts w:ascii="仿宋_GB2312" w:hAnsi="仿宋_GB2312" w:eastAsia="仿宋_GB2312" w:cs="仿宋_GB2312"/>
                <w:color w:val="000000"/>
                <w:kern w:val="0"/>
                <w:sz w:val="22"/>
                <w:lang w:bidi="ar"/>
              </w:rPr>
            </w:pPr>
          </w:p>
        </w:tc>
        <w:tc>
          <w:tcPr>
            <w:tcW w:w="2296" w:type="dxa"/>
            <w:vMerge w:val="continue"/>
            <w:vAlign w:val="center"/>
          </w:tcPr>
          <w:p>
            <w:pPr>
              <w:pStyle w:val="2"/>
              <w:ind w:firstLine="0" w:firstLineChars="0"/>
              <w:jc w:val="left"/>
              <w:rPr>
                <w:rFonts w:ascii="仿宋_GB2312" w:hAnsi="仿宋_GB2312" w:eastAsia="仿宋_GB2312" w:cs="仿宋_GB2312"/>
                <w:color w:val="000000"/>
                <w:kern w:val="0"/>
                <w:sz w:val="22"/>
                <w:szCs w:val="22"/>
                <w:lang w:bidi="ar"/>
              </w:rP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 w:hRule="atLeast"/>
        </w:trPr>
        <w:tc>
          <w:tcPr>
            <w:tcW w:w="759"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3号门花堆</w:t>
            </w:r>
          </w:p>
        </w:tc>
        <w:tc>
          <w:tcPr>
            <w:tcW w:w="727" w:type="dxa"/>
            <w:vMerge w:val="restart"/>
            <w:vAlign w:val="center"/>
          </w:tcPr>
          <w:p>
            <w:pPr>
              <w:widowControl/>
              <w:jc w:val="center"/>
              <w:textAlignment w:val="center"/>
              <w:rPr>
                <w:rFonts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15</w:t>
            </w:r>
          </w:p>
        </w:tc>
        <w:tc>
          <w:tcPr>
            <w:tcW w:w="2296" w:type="dxa"/>
            <w:vMerge w:val="restart"/>
            <w:vAlign w:val="center"/>
          </w:tcPr>
          <w:p>
            <w:pPr>
              <w:widowControl/>
              <w:jc w:val="left"/>
              <w:textAlignment w:val="center"/>
              <w:rPr>
                <w:rFonts w:ascii="仿宋_GB2312" w:hAnsi="仿宋_GB2312" w:eastAsia="仿宋_GB2312" w:cs="仿宋_GB2312"/>
                <w:color w:val="000000"/>
                <w:kern w:val="0"/>
                <w:sz w:val="22"/>
                <w:lang w:bidi="ar"/>
              </w:rPr>
            </w:pPr>
            <w:r>
              <w:rPr>
                <w:rFonts w:ascii="仿宋_GB2312" w:hAnsi="仿宋_GB2312" w:eastAsia="仿宋_GB2312" w:cs="仿宋_GB2312"/>
                <w:color w:val="000000"/>
                <w:kern w:val="0"/>
                <w:sz w:val="22"/>
                <w:lang w:bidi="ar"/>
              </w:rPr>
              <w:t>绿植品种不少于</w:t>
            </w:r>
            <w:r>
              <w:rPr>
                <w:rFonts w:hint="eastAsia" w:ascii="仿宋_GB2312" w:hAnsi="仿宋_GB2312" w:eastAsia="仿宋_GB2312" w:cs="仿宋_GB2312"/>
                <w:color w:val="000000"/>
                <w:kern w:val="0"/>
                <w:sz w:val="22"/>
                <w:lang w:bidi="ar"/>
              </w:rPr>
              <w:t>3</w:t>
            </w:r>
            <w:r>
              <w:rPr>
                <w:rFonts w:ascii="仿宋_GB2312" w:hAnsi="仿宋_GB2312" w:eastAsia="仿宋_GB2312" w:cs="仿宋_GB2312"/>
                <w:color w:val="000000"/>
                <w:kern w:val="0"/>
                <w:sz w:val="22"/>
                <w:lang w:bidi="ar"/>
              </w:rPr>
              <w:t>种，花卉品种不少于</w:t>
            </w:r>
            <w:r>
              <w:rPr>
                <w:rFonts w:hint="eastAsia" w:ascii="仿宋_GB2312" w:hAnsi="仿宋_GB2312" w:eastAsia="仿宋_GB2312" w:cs="仿宋_GB2312"/>
                <w:color w:val="000000"/>
                <w:kern w:val="0"/>
                <w:sz w:val="22"/>
                <w:lang w:bidi="ar"/>
              </w:rPr>
              <w:t>2</w:t>
            </w:r>
            <w:r>
              <w:rPr>
                <w:rFonts w:ascii="仿宋_GB2312" w:hAnsi="仿宋_GB2312" w:eastAsia="仿宋_GB2312" w:cs="仿宋_GB2312"/>
                <w:color w:val="000000"/>
                <w:kern w:val="0"/>
                <w:sz w:val="22"/>
                <w:lang w:bidi="ar"/>
              </w:rPr>
              <w:t>种（</w:t>
            </w:r>
            <w:r>
              <w:rPr>
                <w:rFonts w:hint="eastAsia" w:ascii="仿宋_GB2312" w:hAnsi="仿宋_GB2312" w:eastAsia="仿宋_GB2312" w:cs="仿宋_GB2312"/>
                <w:color w:val="000000"/>
                <w:kern w:val="0"/>
                <w:sz w:val="22"/>
                <w:lang w:bidi="ar"/>
              </w:rPr>
              <w:t>为</w:t>
            </w:r>
            <w:r>
              <w:rPr>
                <w:rFonts w:ascii="仿宋_GB2312" w:hAnsi="仿宋_GB2312" w:eastAsia="仿宋_GB2312" w:cs="仿宋_GB2312"/>
                <w:color w:val="000000"/>
                <w:kern w:val="0"/>
                <w:sz w:val="22"/>
                <w:lang w:bidi="ar"/>
              </w:rPr>
              <w:t>当季艳丽高档花卉），盆花总量不少于</w:t>
            </w:r>
            <w:r>
              <w:rPr>
                <w:rFonts w:hint="eastAsia" w:ascii="仿宋_GB2312" w:hAnsi="仿宋_GB2312" w:eastAsia="仿宋_GB2312" w:cs="仿宋_GB2312"/>
                <w:color w:val="000000"/>
                <w:kern w:val="0"/>
                <w:sz w:val="22"/>
                <w:lang w:bidi="ar"/>
              </w:rPr>
              <w:t>240</w:t>
            </w:r>
            <w:r>
              <w:rPr>
                <w:rFonts w:ascii="仿宋_GB2312" w:hAnsi="仿宋_GB2312" w:eastAsia="仿宋_GB2312" w:cs="仿宋_GB2312"/>
                <w:color w:val="000000"/>
                <w:kern w:val="0"/>
                <w:sz w:val="22"/>
                <w:lang w:bidi="ar"/>
              </w:rPr>
              <w:t>盆</w:t>
            </w:r>
            <w:r>
              <w:rPr>
                <w:rFonts w:hint="eastAsia" w:ascii="仿宋_GB2312" w:hAnsi="仿宋_GB2312" w:eastAsia="仿宋_GB2312" w:cs="仿宋_GB2312"/>
                <w:color w:val="000000"/>
                <w:kern w:val="0"/>
                <w:sz w:val="22"/>
                <w:lang w:bidi="ar"/>
              </w:rPr>
              <w:t>。</w:t>
            </w: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3" w:hRule="atLeast"/>
        </w:trPr>
        <w:tc>
          <w:tcPr>
            <w:tcW w:w="759"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T1“文明圣地”花堆</w:t>
            </w:r>
          </w:p>
        </w:tc>
        <w:tc>
          <w:tcPr>
            <w:tcW w:w="727" w:type="dxa"/>
            <w:vMerge w:val="continue"/>
            <w:vAlign w:val="center"/>
          </w:tcPr>
          <w:p>
            <w:pPr>
              <w:widowControl/>
              <w:jc w:val="center"/>
              <w:textAlignment w:val="center"/>
              <w:rPr>
                <w:rFonts w:ascii="仿宋_GB2312" w:hAnsi="仿宋_GB2312" w:eastAsia="仿宋_GB2312" w:cs="仿宋_GB2312"/>
                <w:color w:val="000000"/>
                <w:kern w:val="0"/>
                <w:sz w:val="22"/>
                <w:lang w:bidi="ar"/>
              </w:rPr>
            </w:pPr>
          </w:p>
        </w:tc>
        <w:tc>
          <w:tcPr>
            <w:tcW w:w="2296" w:type="dxa"/>
            <w:vMerge w:val="continue"/>
            <w:vAlign w:val="center"/>
          </w:tcPr>
          <w:p>
            <w:pPr>
              <w:widowControl/>
              <w:jc w:val="left"/>
              <w:textAlignment w:val="center"/>
              <w:rPr>
                <w:rFonts w:ascii="仿宋_GB2312" w:hAnsi="仿宋_GB2312" w:eastAsia="仿宋_GB2312" w:cs="仿宋_GB2312"/>
                <w:color w:val="000000"/>
                <w:kern w:val="0"/>
                <w:sz w:val="22"/>
                <w:lang w:bidi="ar"/>
              </w:rP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 w:hRule="atLeast"/>
        </w:trPr>
        <w:tc>
          <w:tcPr>
            <w:tcW w:w="759"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7号门花堆</w:t>
            </w:r>
          </w:p>
        </w:tc>
        <w:tc>
          <w:tcPr>
            <w:tcW w:w="727" w:type="dxa"/>
            <w:vMerge w:val="continue"/>
            <w:vAlign w:val="center"/>
          </w:tcPr>
          <w:p>
            <w:pPr>
              <w:widowControl/>
              <w:jc w:val="center"/>
              <w:textAlignment w:val="center"/>
              <w:rPr>
                <w:rFonts w:ascii="仿宋_GB2312" w:hAnsi="仿宋_GB2312" w:eastAsia="仿宋_GB2312" w:cs="仿宋_GB2312"/>
                <w:color w:val="000000"/>
                <w:kern w:val="0"/>
                <w:sz w:val="22"/>
                <w:lang w:bidi="ar"/>
              </w:rPr>
            </w:pPr>
          </w:p>
        </w:tc>
        <w:tc>
          <w:tcPr>
            <w:tcW w:w="2296" w:type="dxa"/>
            <w:vMerge w:val="continue"/>
            <w:vAlign w:val="center"/>
          </w:tcPr>
          <w:p>
            <w:pPr>
              <w:widowControl/>
              <w:jc w:val="left"/>
              <w:textAlignment w:val="center"/>
              <w:rPr>
                <w:rFonts w:ascii="仿宋_GB2312" w:hAnsi="仿宋_GB2312" w:eastAsia="仿宋_GB2312" w:cs="仿宋_GB2312"/>
                <w:color w:val="000000"/>
                <w:kern w:val="0"/>
                <w:sz w:val="22"/>
                <w:lang w:bidi="ar"/>
              </w:rP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trPr>
        <w:tc>
          <w:tcPr>
            <w:tcW w:w="759"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G-H岛花堆</w:t>
            </w:r>
          </w:p>
        </w:tc>
        <w:tc>
          <w:tcPr>
            <w:tcW w:w="727" w:type="dxa"/>
            <w:vMerge w:val="continue"/>
            <w:vAlign w:val="center"/>
          </w:tcPr>
          <w:p>
            <w:pPr>
              <w:widowControl/>
              <w:jc w:val="center"/>
              <w:textAlignment w:val="center"/>
              <w:rPr>
                <w:rFonts w:ascii="仿宋_GB2312" w:hAnsi="仿宋_GB2312" w:eastAsia="仿宋_GB2312" w:cs="仿宋_GB2312"/>
                <w:color w:val="000000"/>
                <w:kern w:val="0"/>
                <w:sz w:val="22"/>
                <w:lang w:bidi="ar"/>
              </w:rPr>
            </w:pPr>
          </w:p>
        </w:tc>
        <w:tc>
          <w:tcPr>
            <w:tcW w:w="2296" w:type="dxa"/>
            <w:vMerge w:val="continue"/>
            <w:vAlign w:val="center"/>
          </w:tcPr>
          <w:p>
            <w:pPr>
              <w:widowControl/>
              <w:jc w:val="left"/>
              <w:textAlignment w:val="center"/>
              <w:rPr>
                <w:rFonts w:ascii="仿宋_GB2312" w:hAnsi="仿宋_GB2312" w:eastAsia="仿宋_GB2312" w:cs="仿宋_GB2312"/>
                <w:color w:val="000000"/>
                <w:kern w:val="0"/>
                <w:sz w:val="22"/>
                <w:lang w:bidi="ar"/>
              </w:rP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0" w:hRule="atLeast"/>
        </w:trPr>
        <w:tc>
          <w:tcPr>
            <w:tcW w:w="759"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T3隔离区圈椅花堆</w:t>
            </w:r>
          </w:p>
        </w:tc>
        <w:tc>
          <w:tcPr>
            <w:tcW w:w="727" w:type="dxa"/>
            <w:vMerge w:val="continue"/>
            <w:vAlign w:val="center"/>
          </w:tcPr>
          <w:p>
            <w:pPr>
              <w:widowControl/>
              <w:jc w:val="center"/>
              <w:textAlignment w:val="center"/>
              <w:rPr>
                <w:rFonts w:ascii="仿宋_GB2312" w:hAnsi="仿宋_GB2312" w:eastAsia="仿宋_GB2312" w:cs="仿宋_GB2312"/>
                <w:color w:val="000000"/>
                <w:kern w:val="0"/>
                <w:sz w:val="22"/>
                <w:lang w:bidi="ar"/>
              </w:rPr>
            </w:pPr>
          </w:p>
        </w:tc>
        <w:tc>
          <w:tcPr>
            <w:tcW w:w="2296" w:type="dxa"/>
            <w:vMerge w:val="continue"/>
            <w:vAlign w:val="center"/>
          </w:tcPr>
          <w:p>
            <w:pPr>
              <w:widowControl/>
              <w:jc w:val="left"/>
              <w:textAlignment w:val="center"/>
              <w:rPr>
                <w:rFonts w:ascii="仿宋_GB2312" w:hAnsi="仿宋_GB2312" w:eastAsia="仿宋_GB2312" w:cs="仿宋_GB2312"/>
                <w:color w:val="000000"/>
                <w:kern w:val="0"/>
                <w:sz w:val="22"/>
                <w:lang w:bidi="ar"/>
              </w:rP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 w:hRule="atLeast"/>
        </w:trPr>
        <w:tc>
          <w:tcPr>
            <w:tcW w:w="759" w:type="dxa"/>
            <w:vMerge w:val="restart"/>
            <w:vAlign w:val="center"/>
          </w:tcPr>
          <w:p>
            <w:pPr>
              <w:widowControl/>
              <w:jc w:val="center"/>
              <w:textAlignment w:val="center"/>
            </w:pPr>
            <w:r>
              <w:rPr>
                <w:rFonts w:hint="eastAsia" w:ascii="仿宋_GB2312" w:hAnsi="仿宋_GB2312" w:eastAsia="仿宋_GB2312" w:cs="仿宋_GB2312"/>
                <w:b/>
                <w:bCs/>
                <w:color w:val="000000"/>
                <w:kern w:val="0"/>
                <w:sz w:val="22"/>
                <w:lang w:bidi="ar"/>
              </w:rPr>
              <w:t>节假日花堆</w:t>
            </w:r>
          </w:p>
        </w:tc>
        <w:tc>
          <w:tcPr>
            <w:tcW w:w="750" w:type="dxa"/>
            <w:vMerge w:val="restart"/>
            <w:vAlign w:val="center"/>
          </w:tcPr>
          <w:p>
            <w:pPr>
              <w:pStyle w:val="2"/>
              <w:ind w:firstLine="0" w:firstLineChars="0"/>
              <w:jc w:val="center"/>
            </w:pPr>
            <w:r>
              <w:rPr>
                <w:rFonts w:hint="eastAsia" w:ascii="仿宋_GB2312" w:hAnsi="仿宋_GB2312" w:eastAsia="仿宋_GB2312" w:cs="仿宋_GB2312"/>
                <w:b/>
                <w:bCs/>
                <w:color w:val="000000"/>
                <w:kern w:val="0"/>
                <w:sz w:val="22"/>
                <w:szCs w:val="22"/>
                <w:lang w:bidi="ar"/>
              </w:rPr>
              <w:t>5个月</w:t>
            </w: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T3到达文化墙花堆</w:t>
            </w:r>
          </w:p>
        </w:tc>
        <w:tc>
          <w:tcPr>
            <w:tcW w:w="727" w:type="dxa"/>
            <w:vMerge w:val="restart"/>
            <w:vAlign w:val="center"/>
          </w:tcPr>
          <w:p>
            <w:pPr>
              <w:pStyle w:val="2"/>
              <w:ind w:firstLine="0" w:firstLineChars="0"/>
              <w:jc w:val="center"/>
            </w:pPr>
            <w:r>
              <w:rPr>
                <w:rFonts w:hint="eastAsia"/>
              </w:rPr>
              <w:t>30</w:t>
            </w:r>
          </w:p>
        </w:tc>
        <w:tc>
          <w:tcPr>
            <w:tcW w:w="2296" w:type="dxa"/>
            <w:vMerge w:val="restart"/>
            <w:vAlign w:val="center"/>
          </w:tcPr>
          <w:p>
            <w:pPr>
              <w:widowControl/>
              <w:jc w:val="left"/>
              <w:textAlignment w:val="center"/>
              <w:rPr>
                <w:rFonts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植物</w:t>
            </w:r>
            <w:r>
              <w:rPr>
                <w:rFonts w:ascii="仿宋_GB2312" w:hAnsi="仿宋_GB2312" w:eastAsia="仿宋_GB2312" w:cs="仿宋_GB2312"/>
                <w:color w:val="000000"/>
                <w:kern w:val="0"/>
                <w:sz w:val="22"/>
                <w:lang w:bidi="ar"/>
              </w:rPr>
              <w:t>不少于</w:t>
            </w:r>
            <w:r>
              <w:rPr>
                <w:rFonts w:hint="eastAsia" w:ascii="仿宋_GB2312" w:hAnsi="仿宋_GB2312" w:eastAsia="仿宋_GB2312" w:cs="仿宋_GB2312"/>
                <w:color w:val="000000"/>
                <w:kern w:val="0"/>
                <w:sz w:val="22"/>
                <w:lang w:bidi="ar"/>
              </w:rPr>
              <w:t>3</w:t>
            </w:r>
            <w:r>
              <w:rPr>
                <w:rFonts w:ascii="仿宋_GB2312" w:hAnsi="仿宋_GB2312" w:eastAsia="仿宋_GB2312" w:cs="仿宋_GB2312"/>
                <w:color w:val="000000"/>
                <w:kern w:val="0"/>
                <w:sz w:val="22"/>
                <w:lang w:bidi="ar"/>
              </w:rPr>
              <w:t>种，艳丽高档花卉品种不少于</w:t>
            </w:r>
            <w:r>
              <w:rPr>
                <w:rFonts w:hint="eastAsia" w:ascii="仿宋_GB2312" w:hAnsi="仿宋_GB2312" w:eastAsia="仿宋_GB2312" w:cs="仿宋_GB2312"/>
                <w:color w:val="000000"/>
                <w:kern w:val="0"/>
                <w:sz w:val="22"/>
                <w:lang w:bidi="ar"/>
              </w:rPr>
              <w:t>1</w:t>
            </w:r>
            <w:r>
              <w:rPr>
                <w:rFonts w:ascii="仿宋_GB2312" w:hAnsi="仿宋_GB2312" w:eastAsia="仿宋_GB2312" w:cs="仿宋_GB2312"/>
                <w:color w:val="000000"/>
                <w:kern w:val="0"/>
                <w:sz w:val="22"/>
                <w:lang w:bidi="ar"/>
              </w:rPr>
              <w:t>种，总量不少于4</w:t>
            </w:r>
            <w:r>
              <w:rPr>
                <w:rFonts w:hint="eastAsia" w:ascii="仿宋_GB2312" w:hAnsi="仿宋_GB2312" w:eastAsia="仿宋_GB2312" w:cs="仿宋_GB2312"/>
                <w:color w:val="000000"/>
                <w:kern w:val="0"/>
                <w:sz w:val="22"/>
                <w:lang w:bidi="ar"/>
              </w:rPr>
              <w:t>8</w:t>
            </w:r>
            <w:r>
              <w:rPr>
                <w:rFonts w:ascii="仿宋_GB2312" w:hAnsi="仿宋_GB2312" w:eastAsia="仿宋_GB2312" w:cs="仿宋_GB2312"/>
                <w:color w:val="000000"/>
                <w:kern w:val="0"/>
                <w:sz w:val="22"/>
                <w:lang w:bidi="ar"/>
              </w:rPr>
              <w:t>0盆</w:t>
            </w:r>
            <w:r>
              <w:rPr>
                <w:rFonts w:hint="eastAsia" w:ascii="仿宋_GB2312" w:hAnsi="仿宋_GB2312" w:eastAsia="仿宋_GB2312" w:cs="仿宋_GB2312"/>
                <w:color w:val="000000"/>
                <w:kern w:val="0"/>
                <w:sz w:val="22"/>
                <w:lang w:bidi="ar"/>
              </w:rPr>
              <w:t>。</w:t>
            </w:r>
          </w:p>
        </w:tc>
        <w:tc>
          <w:tcPr>
            <w:tcW w:w="1315" w:type="dxa"/>
            <w:vMerge w:val="restart"/>
            <w:vAlign w:val="center"/>
          </w:tcPr>
          <w:p>
            <w:pPr>
              <w:widowControl/>
              <w:jc w:val="left"/>
              <w:textAlignment w:val="center"/>
              <w:rPr>
                <w:rFonts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 xml:space="preserve">每个节假日更换一次。（其中 </w:t>
            </w:r>
            <w:r>
              <w:rPr>
                <w:rFonts w:ascii="仿宋_GB2312" w:hAnsi="仿宋_GB2312" w:eastAsia="仿宋_GB2312" w:cs="仿宋_GB2312"/>
                <w:color w:val="000000"/>
                <w:kern w:val="0"/>
                <w:sz w:val="22"/>
                <w:lang w:bidi="ar"/>
              </w:rPr>
              <w:t>T3到达夹层花堆</w:t>
            </w:r>
            <w:r>
              <w:rPr>
                <w:rFonts w:hint="eastAsia" w:ascii="仿宋_GB2312" w:hAnsi="仿宋_GB2312" w:eastAsia="仿宋_GB2312" w:cs="仿宋_GB2312"/>
                <w:color w:val="000000"/>
                <w:kern w:val="0"/>
                <w:sz w:val="22"/>
                <w:lang w:bidi="ar"/>
              </w:rPr>
              <w:t>硬质每年更换一次）</w:t>
            </w:r>
          </w:p>
          <w:p>
            <w:pPr>
              <w:pStyle w:val="2"/>
              <w:ind w:firstLine="0" w:firstLineChars="0"/>
              <w:jc w:val="center"/>
            </w:pPr>
          </w:p>
        </w:tc>
        <w:tc>
          <w:tcPr>
            <w:tcW w:w="1650" w:type="dxa"/>
            <w:vMerge w:val="restart"/>
            <w:vAlign w:val="center"/>
          </w:tcPr>
          <w:p>
            <w:pPr>
              <w:pStyle w:val="2"/>
              <w:ind w:firstLine="0" w:firstLineChars="0"/>
              <w:jc w:val="center"/>
              <w:rPr>
                <w:rFonts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名贵花卉不少于40%；</w:t>
            </w:r>
          </w:p>
          <w:p>
            <w:pPr>
              <w:pStyle w:val="2"/>
              <w:ind w:firstLine="0" w:firstLineChars="0"/>
              <w:jc w:val="center"/>
              <w:rPr>
                <w:rFonts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时令花卉不少于35%；</w:t>
            </w:r>
          </w:p>
          <w:p>
            <w:pPr>
              <w:pStyle w:val="2"/>
              <w:ind w:firstLine="0" w:firstLineChars="0"/>
              <w:jc w:val="center"/>
              <w:rPr>
                <w:rFonts w:ascii="仿宋_GB2312" w:hAnsi="仿宋_GB2312" w:eastAsia="仿宋_GB2312" w:cs="仿宋_GB2312"/>
                <w:color w:val="000000"/>
                <w:kern w:val="0"/>
                <w:sz w:val="22"/>
                <w:szCs w:val="22"/>
                <w:lang w:bidi="ar"/>
              </w:rPr>
            </w:pPr>
            <w:r>
              <w:rPr>
                <w:rFonts w:hint="eastAsia" w:ascii="仿宋_GB2312" w:hAnsi="仿宋_GB2312" w:eastAsia="仿宋_GB2312" w:cs="仿宋_GB2312"/>
                <w:color w:val="000000"/>
                <w:kern w:val="0"/>
                <w:sz w:val="22"/>
                <w:szCs w:val="22"/>
                <w:lang w:bidi="ar"/>
              </w:rPr>
              <w:t>绿植不少于25%</w:t>
            </w:r>
          </w:p>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 w:hRule="atLeast"/>
        </w:trPr>
        <w:tc>
          <w:tcPr>
            <w:tcW w:w="759" w:type="dxa"/>
            <w:vMerge w:val="continue"/>
            <w:vAlign w:val="center"/>
          </w:tcPr>
          <w:p>
            <w:pPr>
              <w:widowControl/>
              <w:jc w:val="center"/>
              <w:textAlignment w:val="center"/>
              <w:rPr>
                <w:rFonts w:ascii="仿宋_GB2312" w:hAnsi="仿宋_GB2312" w:eastAsia="仿宋_GB2312" w:cs="仿宋_GB2312"/>
                <w:b/>
                <w:bCs/>
                <w:color w:val="000000"/>
                <w:kern w:val="0"/>
                <w:sz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rPr>
                <w:rFonts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T3到达琉璃墙花堆</w:t>
            </w:r>
          </w:p>
        </w:tc>
        <w:tc>
          <w:tcPr>
            <w:tcW w:w="727" w:type="dxa"/>
            <w:vMerge w:val="continue"/>
            <w:vAlign w:val="center"/>
          </w:tcPr>
          <w:p>
            <w:pPr>
              <w:pStyle w:val="2"/>
              <w:ind w:firstLine="0" w:firstLineChars="0"/>
              <w:jc w:val="center"/>
            </w:pPr>
          </w:p>
        </w:tc>
        <w:tc>
          <w:tcPr>
            <w:tcW w:w="2296" w:type="dxa"/>
            <w:vMerge w:val="continue"/>
            <w:vAlign w:val="center"/>
          </w:tcPr>
          <w:p>
            <w:pPr>
              <w:widowControl/>
              <w:jc w:val="left"/>
              <w:textAlignment w:val="center"/>
              <w:rPr>
                <w:rFonts w:ascii="仿宋_GB2312" w:hAnsi="仿宋_GB2312" w:eastAsia="仿宋_GB2312" w:cs="仿宋_GB2312"/>
                <w:color w:val="000000"/>
                <w:kern w:val="0"/>
                <w:sz w:val="22"/>
                <w:lang w:bidi="ar"/>
              </w:rP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 w:hRule="atLeast"/>
        </w:trPr>
        <w:tc>
          <w:tcPr>
            <w:tcW w:w="759" w:type="dxa"/>
            <w:vMerge w:val="continue"/>
            <w:vAlign w:val="center"/>
          </w:tcPr>
          <w:p>
            <w:pPr>
              <w:widowControl/>
              <w:jc w:val="center"/>
              <w:textAlignment w:val="center"/>
              <w:rPr>
                <w:rFonts w:ascii="仿宋_GB2312" w:hAnsi="仿宋_GB2312" w:eastAsia="仿宋_GB2312" w:cs="仿宋_GB2312"/>
                <w:b/>
                <w:bCs/>
                <w:color w:val="000000"/>
                <w:kern w:val="0"/>
                <w:sz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rPr>
                <w:rFonts w:ascii="仿宋_GB2312" w:hAnsi="仿宋_GB2312" w:eastAsia="仿宋_GB2312" w:cs="仿宋_GB2312"/>
                <w:color w:val="000000"/>
                <w:kern w:val="0"/>
                <w:sz w:val="22"/>
                <w:lang w:bidi="ar"/>
              </w:rPr>
            </w:pPr>
            <w:r>
              <w:rPr>
                <w:rFonts w:hint="eastAsia" w:ascii="仿宋_GB2312" w:hAnsi="仿宋_GB2312" w:eastAsia="仿宋_GB2312" w:cs="仿宋_GB2312"/>
                <w:color w:val="000000"/>
                <w:kern w:val="0"/>
                <w:sz w:val="22"/>
                <w:lang w:bidi="ar"/>
              </w:rPr>
              <w:t>T3到达夹层花堆</w:t>
            </w:r>
          </w:p>
        </w:tc>
        <w:tc>
          <w:tcPr>
            <w:tcW w:w="727" w:type="dxa"/>
            <w:vMerge w:val="continue"/>
            <w:vAlign w:val="center"/>
          </w:tcPr>
          <w:p>
            <w:pPr>
              <w:pStyle w:val="2"/>
              <w:ind w:firstLine="0" w:firstLineChars="0"/>
              <w:jc w:val="center"/>
            </w:pPr>
          </w:p>
        </w:tc>
        <w:tc>
          <w:tcPr>
            <w:tcW w:w="2296" w:type="dxa"/>
            <w:vMerge w:val="continue"/>
            <w:vAlign w:val="center"/>
          </w:tcPr>
          <w:p>
            <w:pPr>
              <w:widowControl/>
              <w:jc w:val="left"/>
              <w:textAlignment w:val="center"/>
              <w:rPr>
                <w:rFonts w:ascii="仿宋_GB2312" w:hAnsi="仿宋_GB2312" w:eastAsia="仿宋_GB2312" w:cs="仿宋_GB2312"/>
                <w:color w:val="000000"/>
                <w:kern w:val="0"/>
                <w:sz w:val="22"/>
                <w:lang w:bidi="ar"/>
              </w:rP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8" w:hRule="atLeast"/>
        </w:trPr>
        <w:tc>
          <w:tcPr>
            <w:tcW w:w="759" w:type="dxa"/>
            <w:vMerge w:val="continue"/>
            <w:vAlign w:val="center"/>
          </w:tcPr>
          <w:p>
            <w:pPr>
              <w:widowControl/>
              <w:jc w:val="center"/>
              <w:textAlignment w:val="center"/>
              <w:rPr>
                <w:rFonts w:ascii="仿宋_GB2312" w:hAnsi="仿宋_GB2312" w:eastAsia="仿宋_GB2312" w:cs="仿宋_GB2312"/>
                <w:b/>
                <w:bCs/>
                <w:color w:val="000000"/>
                <w:kern w:val="0"/>
                <w:sz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3号门花堆</w:t>
            </w:r>
          </w:p>
        </w:tc>
        <w:tc>
          <w:tcPr>
            <w:tcW w:w="727" w:type="dxa"/>
            <w:vMerge w:val="restart"/>
            <w:vAlign w:val="center"/>
          </w:tcPr>
          <w:p>
            <w:pPr>
              <w:pStyle w:val="2"/>
              <w:ind w:firstLine="0" w:firstLineChars="0"/>
              <w:jc w:val="center"/>
            </w:pPr>
            <w:r>
              <w:rPr>
                <w:rFonts w:hint="eastAsia"/>
              </w:rPr>
              <w:t>15</w:t>
            </w:r>
          </w:p>
        </w:tc>
        <w:tc>
          <w:tcPr>
            <w:tcW w:w="2296" w:type="dxa"/>
            <w:vMerge w:val="restart"/>
            <w:vAlign w:val="center"/>
          </w:tcPr>
          <w:p>
            <w:pPr>
              <w:widowControl/>
              <w:jc w:val="left"/>
              <w:textAlignment w:val="center"/>
              <w:rPr>
                <w:rFonts w:ascii="仿宋_GB2312" w:hAnsi="仿宋_GB2312" w:eastAsia="仿宋_GB2312" w:cs="仿宋_GB2312"/>
                <w:color w:val="000000"/>
                <w:kern w:val="0"/>
                <w:sz w:val="22"/>
                <w:lang w:bidi="ar"/>
              </w:rPr>
            </w:pPr>
            <w:r>
              <w:rPr>
                <w:rFonts w:ascii="仿宋_GB2312" w:hAnsi="仿宋_GB2312" w:eastAsia="仿宋_GB2312" w:cs="仿宋_GB2312"/>
                <w:color w:val="000000"/>
                <w:kern w:val="0"/>
                <w:sz w:val="22"/>
                <w:lang w:bidi="ar"/>
              </w:rPr>
              <w:t>绿植品种不少于6种，花卉品种不少于</w:t>
            </w:r>
            <w:r>
              <w:rPr>
                <w:rFonts w:hint="eastAsia" w:ascii="仿宋_GB2312" w:hAnsi="仿宋_GB2312" w:eastAsia="仿宋_GB2312" w:cs="仿宋_GB2312"/>
                <w:color w:val="000000"/>
                <w:kern w:val="0"/>
                <w:sz w:val="22"/>
                <w:lang w:bidi="ar"/>
              </w:rPr>
              <w:t>4</w:t>
            </w:r>
            <w:r>
              <w:rPr>
                <w:rFonts w:ascii="仿宋_GB2312" w:hAnsi="仿宋_GB2312" w:eastAsia="仿宋_GB2312" w:cs="仿宋_GB2312"/>
                <w:color w:val="000000"/>
                <w:kern w:val="0"/>
                <w:sz w:val="22"/>
                <w:lang w:bidi="ar"/>
              </w:rPr>
              <w:t>种（至少2种当季艳丽高档花卉），盆花总量不少于</w:t>
            </w:r>
            <w:r>
              <w:rPr>
                <w:rFonts w:hint="eastAsia" w:ascii="仿宋_GB2312" w:hAnsi="仿宋_GB2312" w:eastAsia="仿宋_GB2312" w:cs="仿宋_GB2312"/>
                <w:color w:val="000000"/>
                <w:kern w:val="0"/>
                <w:sz w:val="22"/>
                <w:lang w:bidi="ar"/>
              </w:rPr>
              <w:t>4</w:t>
            </w:r>
            <w:r>
              <w:rPr>
                <w:rFonts w:ascii="仿宋_GB2312" w:hAnsi="仿宋_GB2312" w:eastAsia="仿宋_GB2312" w:cs="仿宋_GB2312"/>
                <w:color w:val="000000"/>
                <w:kern w:val="0"/>
                <w:sz w:val="22"/>
                <w:lang w:bidi="ar"/>
              </w:rPr>
              <w:t>00盆且富有层次</w:t>
            </w:r>
            <w:r>
              <w:rPr>
                <w:rFonts w:hint="eastAsia" w:ascii="仿宋_GB2312" w:hAnsi="仿宋_GB2312" w:eastAsia="仿宋_GB2312" w:cs="仿宋_GB2312"/>
                <w:color w:val="000000"/>
                <w:kern w:val="0"/>
                <w:sz w:val="22"/>
                <w:lang w:bidi="ar"/>
              </w:rPr>
              <w:t>。</w:t>
            </w:r>
          </w:p>
          <w:p>
            <w:pPr>
              <w:widowControl/>
              <w:jc w:val="left"/>
              <w:textAlignment w:val="center"/>
              <w:rPr>
                <w:rFonts w:ascii="仿宋_GB2312" w:hAnsi="仿宋_GB2312" w:eastAsia="仿宋_GB2312" w:cs="仿宋_GB2312"/>
                <w:color w:val="000000"/>
                <w:kern w:val="0"/>
                <w:sz w:val="22"/>
                <w:lang w:bidi="ar"/>
              </w:rP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0" w:hRule="atLeast"/>
        </w:trPr>
        <w:tc>
          <w:tcPr>
            <w:tcW w:w="759" w:type="dxa"/>
            <w:vMerge w:val="continue"/>
            <w:vAlign w:val="center"/>
          </w:tcPr>
          <w:p>
            <w:pPr>
              <w:widowControl/>
              <w:jc w:val="center"/>
              <w:textAlignment w:val="center"/>
              <w:rPr>
                <w:rFonts w:ascii="仿宋_GB2312" w:hAnsi="仿宋_GB2312" w:eastAsia="仿宋_GB2312" w:cs="仿宋_GB2312"/>
                <w:b/>
                <w:bCs/>
                <w:color w:val="000000"/>
                <w:kern w:val="0"/>
                <w:sz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T1“文明圣地”花堆</w:t>
            </w:r>
          </w:p>
        </w:tc>
        <w:tc>
          <w:tcPr>
            <w:tcW w:w="727" w:type="dxa"/>
            <w:vMerge w:val="continue"/>
            <w:vAlign w:val="center"/>
          </w:tcPr>
          <w:p>
            <w:pPr>
              <w:pStyle w:val="2"/>
              <w:ind w:firstLine="0" w:firstLineChars="0"/>
              <w:jc w:val="center"/>
            </w:pPr>
          </w:p>
        </w:tc>
        <w:tc>
          <w:tcPr>
            <w:tcW w:w="2296" w:type="dxa"/>
            <w:vMerge w:val="continue"/>
            <w:vAlign w:val="center"/>
          </w:tcPr>
          <w:p>
            <w:pPr>
              <w:pStyle w:val="2"/>
              <w:ind w:firstLine="0" w:firstLineChars="0"/>
              <w:jc w:val="cente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5" w:hRule="atLeast"/>
        </w:trPr>
        <w:tc>
          <w:tcPr>
            <w:tcW w:w="759" w:type="dxa"/>
            <w:vMerge w:val="continue"/>
            <w:vAlign w:val="center"/>
          </w:tcPr>
          <w:p>
            <w:pPr>
              <w:widowControl/>
              <w:jc w:val="center"/>
              <w:textAlignment w:val="center"/>
              <w:rPr>
                <w:rFonts w:ascii="仿宋_GB2312" w:hAnsi="仿宋_GB2312" w:eastAsia="仿宋_GB2312" w:cs="仿宋_GB2312"/>
                <w:b/>
                <w:bCs/>
                <w:color w:val="000000"/>
                <w:kern w:val="0"/>
                <w:sz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7号门花堆</w:t>
            </w:r>
          </w:p>
        </w:tc>
        <w:tc>
          <w:tcPr>
            <w:tcW w:w="727" w:type="dxa"/>
            <w:vMerge w:val="continue"/>
            <w:vAlign w:val="center"/>
          </w:tcPr>
          <w:p>
            <w:pPr>
              <w:pStyle w:val="2"/>
              <w:ind w:firstLine="0" w:firstLineChars="0"/>
              <w:jc w:val="center"/>
            </w:pPr>
          </w:p>
        </w:tc>
        <w:tc>
          <w:tcPr>
            <w:tcW w:w="2296" w:type="dxa"/>
            <w:vMerge w:val="continue"/>
            <w:vAlign w:val="center"/>
          </w:tcPr>
          <w:p>
            <w:pPr>
              <w:pStyle w:val="2"/>
              <w:ind w:firstLine="0" w:firstLineChars="0"/>
              <w:jc w:val="cente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 w:hRule="atLeast"/>
        </w:trPr>
        <w:tc>
          <w:tcPr>
            <w:tcW w:w="759" w:type="dxa"/>
            <w:vMerge w:val="continue"/>
            <w:vAlign w:val="center"/>
          </w:tcPr>
          <w:p>
            <w:pPr>
              <w:widowControl/>
              <w:jc w:val="center"/>
              <w:textAlignment w:val="center"/>
              <w:rPr>
                <w:rFonts w:ascii="仿宋_GB2312" w:hAnsi="仿宋_GB2312" w:eastAsia="仿宋_GB2312" w:cs="仿宋_GB2312"/>
                <w:b/>
                <w:bCs/>
                <w:color w:val="000000"/>
                <w:kern w:val="0"/>
                <w:sz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G-H岛花堆</w:t>
            </w:r>
          </w:p>
        </w:tc>
        <w:tc>
          <w:tcPr>
            <w:tcW w:w="727" w:type="dxa"/>
            <w:vMerge w:val="continue"/>
            <w:vAlign w:val="center"/>
          </w:tcPr>
          <w:p>
            <w:pPr>
              <w:pStyle w:val="2"/>
              <w:ind w:firstLine="0" w:firstLineChars="0"/>
              <w:jc w:val="center"/>
            </w:pPr>
          </w:p>
        </w:tc>
        <w:tc>
          <w:tcPr>
            <w:tcW w:w="2296" w:type="dxa"/>
            <w:vMerge w:val="continue"/>
            <w:vAlign w:val="center"/>
          </w:tcPr>
          <w:p>
            <w:pPr>
              <w:pStyle w:val="2"/>
              <w:ind w:firstLine="0" w:firstLineChars="0"/>
              <w:jc w:val="cente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 w:hRule="atLeast"/>
        </w:trPr>
        <w:tc>
          <w:tcPr>
            <w:tcW w:w="759" w:type="dxa"/>
            <w:vMerge w:val="continue"/>
            <w:vAlign w:val="center"/>
          </w:tcPr>
          <w:p>
            <w:pPr>
              <w:widowControl/>
              <w:jc w:val="center"/>
              <w:textAlignment w:val="center"/>
              <w:rPr>
                <w:rFonts w:ascii="仿宋_GB2312" w:hAnsi="仿宋_GB2312" w:eastAsia="仿宋_GB2312" w:cs="仿宋_GB2312"/>
                <w:b/>
                <w:bCs/>
                <w:color w:val="000000"/>
                <w:kern w:val="0"/>
                <w:sz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9号门花堆</w:t>
            </w:r>
          </w:p>
        </w:tc>
        <w:tc>
          <w:tcPr>
            <w:tcW w:w="727" w:type="dxa"/>
            <w:vMerge w:val="continue"/>
            <w:vAlign w:val="center"/>
          </w:tcPr>
          <w:p>
            <w:pPr>
              <w:pStyle w:val="2"/>
              <w:ind w:firstLine="0" w:firstLineChars="0"/>
              <w:jc w:val="center"/>
            </w:pPr>
          </w:p>
        </w:tc>
        <w:tc>
          <w:tcPr>
            <w:tcW w:w="2296" w:type="dxa"/>
            <w:vMerge w:val="continue"/>
            <w:vAlign w:val="center"/>
          </w:tcPr>
          <w:p>
            <w:pPr>
              <w:pStyle w:val="2"/>
              <w:ind w:firstLine="0" w:firstLineChars="0"/>
              <w:jc w:val="cente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 w:hRule="atLeast"/>
        </w:trPr>
        <w:tc>
          <w:tcPr>
            <w:tcW w:w="759" w:type="dxa"/>
            <w:vMerge w:val="continue"/>
            <w:vAlign w:val="center"/>
          </w:tcPr>
          <w:p>
            <w:pPr>
              <w:widowControl/>
              <w:jc w:val="center"/>
              <w:textAlignment w:val="center"/>
              <w:rPr>
                <w:rFonts w:ascii="仿宋_GB2312" w:hAnsi="仿宋_GB2312" w:eastAsia="仿宋_GB2312" w:cs="仿宋_GB2312"/>
                <w:b/>
                <w:bCs/>
                <w:color w:val="000000"/>
                <w:kern w:val="0"/>
                <w:sz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12号门花堆</w:t>
            </w:r>
          </w:p>
        </w:tc>
        <w:tc>
          <w:tcPr>
            <w:tcW w:w="727" w:type="dxa"/>
            <w:vMerge w:val="continue"/>
            <w:vAlign w:val="center"/>
          </w:tcPr>
          <w:p>
            <w:pPr>
              <w:pStyle w:val="2"/>
              <w:ind w:firstLine="0" w:firstLineChars="0"/>
              <w:jc w:val="center"/>
            </w:pPr>
          </w:p>
        </w:tc>
        <w:tc>
          <w:tcPr>
            <w:tcW w:w="2296" w:type="dxa"/>
            <w:vMerge w:val="continue"/>
            <w:vAlign w:val="center"/>
          </w:tcPr>
          <w:p>
            <w:pPr>
              <w:pStyle w:val="2"/>
              <w:ind w:firstLine="0" w:firstLineChars="0"/>
              <w:jc w:val="cente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6" w:hRule="atLeast"/>
        </w:trPr>
        <w:tc>
          <w:tcPr>
            <w:tcW w:w="759" w:type="dxa"/>
            <w:vMerge w:val="continue"/>
            <w:vAlign w:val="center"/>
          </w:tcPr>
          <w:p>
            <w:pPr>
              <w:widowControl/>
              <w:jc w:val="center"/>
              <w:textAlignment w:val="center"/>
              <w:rPr>
                <w:rFonts w:ascii="仿宋_GB2312" w:hAnsi="仿宋_GB2312" w:eastAsia="仿宋_GB2312" w:cs="仿宋_GB2312"/>
                <w:b/>
                <w:bCs/>
                <w:color w:val="000000"/>
                <w:kern w:val="0"/>
                <w:sz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T3隔离区圈椅花堆</w:t>
            </w:r>
          </w:p>
        </w:tc>
        <w:tc>
          <w:tcPr>
            <w:tcW w:w="727" w:type="dxa"/>
            <w:vMerge w:val="continue"/>
            <w:vAlign w:val="center"/>
          </w:tcPr>
          <w:p>
            <w:pPr>
              <w:pStyle w:val="2"/>
              <w:ind w:firstLine="0" w:firstLineChars="0"/>
              <w:jc w:val="center"/>
            </w:pPr>
          </w:p>
        </w:tc>
        <w:tc>
          <w:tcPr>
            <w:tcW w:w="2296" w:type="dxa"/>
            <w:vMerge w:val="continue"/>
            <w:vAlign w:val="center"/>
          </w:tcPr>
          <w:p>
            <w:pPr>
              <w:pStyle w:val="2"/>
              <w:ind w:firstLine="0" w:firstLineChars="0"/>
              <w:jc w:val="cente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2" w:hRule="atLeast"/>
        </w:trPr>
        <w:tc>
          <w:tcPr>
            <w:tcW w:w="759" w:type="dxa"/>
            <w:vMerge w:val="continue"/>
            <w:vAlign w:val="center"/>
          </w:tcPr>
          <w:p>
            <w:pPr>
              <w:widowControl/>
              <w:jc w:val="center"/>
              <w:textAlignment w:val="center"/>
              <w:rPr>
                <w:rFonts w:ascii="仿宋_GB2312" w:hAnsi="仿宋_GB2312" w:eastAsia="仿宋_GB2312" w:cs="仿宋_GB2312"/>
                <w:b/>
                <w:bCs/>
                <w:color w:val="000000"/>
                <w:kern w:val="0"/>
                <w:sz w:val="22"/>
                <w:lang w:bidi="ar"/>
              </w:rPr>
            </w:pPr>
          </w:p>
        </w:tc>
        <w:tc>
          <w:tcPr>
            <w:tcW w:w="750" w:type="dxa"/>
            <w:vMerge w:val="continue"/>
            <w:vAlign w:val="center"/>
          </w:tcPr>
          <w:p>
            <w:pPr>
              <w:pStyle w:val="2"/>
              <w:ind w:firstLine="0" w:firstLineChars="0"/>
              <w:jc w:val="center"/>
              <w:rPr>
                <w:rFonts w:ascii="仿宋_GB2312" w:hAnsi="仿宋_GB2312" w:eastAsia="仿宋_GB2312" w:cs="仿宋_GB2312"/>
                <w:b/>
                <w:bCs/>
                <w:color w:val="000000"/>
                <w:kern w:val="0"/>
                <w:sz w:val="22"/>
                <w:szCs w:val="22"/>
                <w:lang w:bidi="ar"/>
              </w:rPr>
            </w:pPr>
          </w:p>
        </w:tc>
        <w:tc>
          <w:tcPr>
            <w:tcW w:w="2354" w:type="dxa"/>
            <w:vAlign w:val="center"/>
          </w:tcPr>
          <w:p>
            <w:pPr>
              <w:widowControl/>
              <w:jc w:val="center"/>
              <w:textAlignment w:val="center"/>
            </w:pPr>
            <w:r>
              <w:rPr>
                <w:rFonts w:hint="eastAsia" w:ascii="仿宋_GB2312" w:hAnsi="仿宋_GB2312" w:eastAsia="仿宋_GB2312" w:cs="仿宋_GB2312"/>
                <w:color w:val="000000"/>
                <w:kern w:val="0"/>
                <w:sz w:val="22"/>
                <w:lang w:bidi="ar"/>
              </w:rPr>
              <w:t>T3到达北指廊花堆</w:t>
            </w:r>
          </w:p>
        </w:tc>
        <w:tc>
          <w:tcPr>
            <w:tcW w:w="727" w:type="dxa"/>
            <w:vMerge w:val="continue"/>
            <w:vAlign w:val="center"/>
          </w:tcPr>
          <w:p>
            <w:pPr>
              <w:pStyle w:val="2"/>
              <w:ind w:firstLine="0" w:firstLineChars="0"/>
              <w:jc w:val="center"/>
            </w:pPr>
          </w:p>
        </w:tc>
        <w:tc>
          <w:tcPr>
            <w:tcW w:w="2296" w:type="dxa"/>
            <w:vMerge w:val="continue"/>
            <w:vAlign w:val="center"/>
          </w:tcPr>
          <w:p>
            <w:pPr>
              <w:pStyle w:val="2"/>
              <w:ind w:firstLine="0" w:firstLineChars="0"/>
              <w:jc w:val="center"/>
            </w:pPr>
          </w:p>
        </w:tc>
        <w:tc>
          <w:tcPr>
            <w:tcW w:w="1315" w:type="dxa"/>
            <w:vMerge w:val="continue"/>
            <w:vAlign w:val="center"/>
          </w:tcPr>
          <w:p>
            <w:pPr>
              <w:pStyle w:val="2"/>
              <w:ind w:firstLine="0" w:firstLineChars="0"/>
              <w:jc w:val="center"/>
            </w:pPr>
          </w:p>
        </w:tc>
        <w:tc>
          <w:tcPr>
            <w:tcW w:w="1650" w:type="dxa"/>
            <w:vMerge w:val="continue"/>
            <w:vAlign w:val="center"/>
          </w:tcPr>
          <w:p>
            <w:pPr>
              <w:pStyle w:val="2"/>
              <w:ind w:firstLine="0" w:firstLineChars="0"/>
              <w:jc w:val="center"/>
            </w:pPr>
          </w:p>
        </w:tc>
      </w:tr>
    </w:tbl>
    <w:p>
      <w:pPr>
        <w:adjustRightInd w:val="0"/>
        <w:snapToGrid w:val="0"/>
        <w:spacing w:line="360" w:lineRule="auto"/>
        <w:ind w:firstLine="440"/>
        <w:rPr>
          <w:rFonts w:ascii="宋体" w:hAnsi="宋体" w:cs="宋体"/>
          <w:kern w:val="0"/>
          <w:sz w:val="22"/>
        </w:rPr>
      </w:pPr>
      <w:r>
        <w:rPr>
          <w:rFonts w:hint="eastAsia" w:ascii="宋体" w:hAnsi="宋体" w:cs="宋体"/>
          <w:kern w:val="0"/>
          <w:sz w:val="22"/>
        </w:rPr>
        <w:t>2.2.2花堆一般由时令花卉、名贵花木及硬质景观构成</w:t>
      </w:r>
      <w:r>
        <w:rPr>
          <w:rFonts w:ascii="宋体" w:hAnsi="宋体" w:cs="宋体"/>
          <w:kern w:val="0"/>
          <w:sz w:val="22"/>
        </w:rPr>
        <w:t>（实际摆放位置会根据实际情况进行调整）</w:t>
      </w:r>
      <w:r>
        <w:rPr>
          <w:rFonts w:hint="eastAsia" w:ascii="宋体" w:hAnsi="宋体" w:cs="宋体"/>
          <w:kern w:val="0"/>
          <w:sz w:val="22"/>
        </w:rPr>
        <w:t>。</w:t>
      </w:r>
    </w:p>
    <w:p>
      <w:pPr>
        <w:adjustRightInd w:val="0"/>
        <w:snapToGrid w:val="0"/>
        <w:spacing w:line="360" w:lineRule="auto"/>
        <w:ind w:firstLine="440"/>
        <w:rPr>
          <w:rFonts w:ascii="宋体" w:hAnsi="宋体" w:cs="宋体"/>
          <w:kern w:val="0"/>
          <w:sz w:val="22"/>
        </w:rPr>
      </w:pPr>
      <w:r>
        <w:rPr>
          <w:rFonts w:hint="eastAsia" w:ascii="宋体" w:hAnsi="宋体" w:cs="宋体"/>
        </w:rPr>
        <w:t>★</w:t>
      </w:r>
      <w:r>
        <w:rPr>
          <w:rFonts w:hint="eastAsia" w:ascii="宋体" w:hAnsi="宋体" w:cs="宋体"/>
          <w:kern w:val="0"/>
          <w:sz w:val="22"/>
        </w:rPr>
        <w:t xml:space="preserve">2.2.3 </w:t>
      </w:r>
      <w:r>
        <w:rPr>
          <w:rFonts w:ascii="宋体" w:hAnsi="宋体" w:cs="宋体"/>
          <w:kern w:val="0"/>
          <w:sz w:val="22"/>
        </w:rPr>
        <w:t>T3到达夹层花堆每年</w:t>
      </w:r>
      <w:r>
        <w:rPr>
          <w:rFonts w:hint="eastAsia" w:ascii="宋体" w:hAnsi="宋体" w:cs="宋体"/>
          <w:kern w:val="0"/>
          <w:sz w:val="22"/>
        </w:rPr>
        <w:t>一个</w:t>
      </w:r>
      <w:r>
        <w:rPr>
          <w:rFonts w:ascii="宋体" w:hAnsi="宋体" w:cs="宋体"/>
          <w:kern w:val="0"/>
          <w:sz w:val="22"/>
        </w:rPr>
        <w:t>主题进行花堆布置，</w:t>
      </w:r>
      <w:r>
        <w:rPr>
          <w:rFonts w:hint="eastAsia" w:ascii="宋体" w:hAnsi="宋体" w:cs="宋体"/>
          <w:kern w:val="0"/>
          <w:sz w:val="22"/>
        </w:rPr>
        <w:t>硬质景观摆放一年，花堆中的硬质景观总体大小落地面积不小于2平米，平均高度不小于1.5米。</w:t>
      </w:r>
    </w:p>
    <w:p>
      <w:pPr>
        <w:adjustRightInd w:val="0"/>
        <w:snapToGrid w:val="0"/>
        <w:spacing w:line="360" w:lineRule="auto"/>
        <w:ind w:firstLine="440"/>
        <w:rPr>
          <w:rFonts w:ascii="宋体" w:hAnsi="宋体" w:cs="宋体"/>
          <w:kern w:val="0"/>
          <w:sz w:val="22"/>
        </w:rPr>
      </w:pPr>
      <w:r>
        <w:rPr>
          <w:rFonts w:hint="eastAsia" w:ascii="宋体" w:hAnsi="宋体" w:cs="宋体"/>
        </w:rPr>
        <w:t>★</w:t>
      </w:r>
      <w:r>
        <w:rPr>
          <w:rFonts w:hint="eastAsia" w:ascii="宋体" w:hAnsi="宋体" w:cs="宋体"/>
          <w:kern w:val="0"/>
          <w:sz w:val="22"/>
        </w:rPr>
        <w:t>2.2.4每个</w:t>
      </w:r>
      <w:r>
        <w:rPr>
          <w:rFonts w:hint="eastAsia" w:ascii="仿宋_GB2312" w:hAnsi="仿宋_GB2312" w:eastAsia="仿宋_GB2312" w:cs="仿宋_GB2312"/>
          <w:b/>
          <w:bCs/>
          <w:color w:val="000000"/>
          <w:kern w:val="0"/>
          <w:sz w:val="22"/>
          <w:lang w:bidi="ar"/>
        </w:rPr>
        <w:t>节假日花堆都必须设置一个硬质景观，</w:t>
      </w:r>
      <w:r>
        <w:rPr>
          <w:rFonts w:hint="eastAsia" w:ascii="宋体" w:hAnsi="宋体" w:cs="宋体"/>
          <w:kern w:val="0"/>
          <w:sz w:val="22"/>
        </w:rPr>
        <w:t xml:space="preserve">其中 </w:t>
      </w:r>
      <w:r>
        <w:rPr>
          <w:rFonts w:ascii="宋体" w:hAnsi="宋体" w:cs="宋体"/>
          <w:kern w:val="0"/>
          <w:sz w:val="22"/>
        </w:rPr>
        <w:t>T3到达夹层花堆</w:t>
      </w:r>
      <w:r>
        <w:rPr>
          <w:rFonts w:hint="eastAsia" w:ascii="宋体" w:hAnsi="宋体" w:cs="宋体"/>
          <w:kern w:val="0"/>
          <w:sz w:val="22"/>
        </w:rPr>
        <w:t>硬质每年更换一次，其他花堆硬质景观按照造型更换频率进行更换。硬质景观要求符合硬质景观技术要求。</w:t>
      </w:r>
    </w:p>
    <w:p>
      <w:pPr>
        <w:adjustRightInd w:val="0"/>
        <w:snapToGrid w:val="0"/>
        <w:spacing w:line="360" w:lineRule="auto"/>
        <w:ind w:firstLine="442"/>
        <w:outlineLvl w:val="2"/>
      </w:pPr>
      <w:r>
        <w:rPr>
          <w:rFonts w:hint="eastAsia" w:ascii="宋体" w:hAnsi="宋体" w:cs="宋体"/>
          <w:kern w:val="0"/>
          <w:sz w:val="22"/>
        </w:rPr>
        <w:t xml:space="preserve">2.2.5 </w:t>
      </w:r>
      <w:r>
        <w:rPr>
          <w:rFonts w:hint="eastAsia" w:ascii="宋体" w:hAnsi="宋体" w:cs="宋体"/>
          <w:b/>
          <w:bCs/>
          <w:kern w:val="0"/>
          <w:sz w:val="22"/>
        </w:rPr>
        <w:t>航站楼固定及节假日花堆必须符合租摆要求，</w:t>
      </w:r>
      <w:r>
        <w:rPr>
          <w:rFonts w:hint="eastAsia" w:ascii="宋体" w:hAnsi="宋体" w:cs="宋体"/>
          <w:kern w:val="0"/>
          <w:sz w:val="22"/>
        </w:rPr>
        <w:t>航站楼绿化租摆技术规范要求为最低标准。</w:t>
      </w:r>
    </w:p>
    <w:p>
      <w:pPr>
        <w:pStyle w:val="2"/>
        <w:spacing w:after="0" w:line="360" w:lineRule="auto"/>
        <w:ind w:firstLineChars="200"/>
        <w:rPr>
          <w:rFonts w:ascii="宋体" w:hAnsi="宋体" w:cs="宋体"/>
          <w:b/>
          <w:bCs/>
          <w:kern w:val="0"/>
          <w:sz w:val="22"/>
        </w:rPr>
      </w:pPr>
      <w:r>
        <w:rPr>
          <w:rFonts w:hint="eastAsia" w:ascii="宋体" w:hAnsi="宋体" w:cs="宋体"/>
        </w:rPr>
        <w:t>★</w:t>
      </w:r>
      <w:r>
        <w:rPr>
          <w:rFonts w:hint="eastAsia" w:ascii="宋体" w:hAnsi="宋体" w:cs="宋体"/>
          <w:b/>
          <w:bCs/>
          <w:kern w:val="0"/>
          <w:sz w:val="22"/>
        </w:rPr>
        <w:t>2.2.4花堆设计要求</w:t>
      </w:r>
    </w:p>
    <w:p>
      <w:pPr>
        <w:pStyle w:val="2"/>
        <w:spacing w:after="0" w:line="360" w:lineRule="auto"/>
        <w:ind w:firstLine="440" w:firstLineChars="200"/>
        <w:rPr>
          <w:rFonts w:ascii="宋体" w:hAnsi="宋体" w:cs="宋体"/>
          <w:kern w:val="0"/>
          <w:sz w:val="22"/>
          <w:szCs w:val="22"/>
        </w:rPr>
      </w:pPr>
      <w:r>
        <w:rPr>
          <w:rFonts w:hint="eastAsia" w:ascii="宋体" w:hAnsi="宋体" w:cs="宋体"/>
          <w:kern w:val="0"/>
          <w:sz w:val="22"/>
          <w:szCs w:val="22"/>
        </w:rPr>
        <w:t>2.2.4.1</w:t>
      </w:r>
      <w:r>
        <w:rPr>
          <w:rFonts w:ascii="宋体" w:hAnsi="宋体" w:cs="宋体"/>
          <w:kern w:val="0"/>
          <w:sz w:val="22"/>
          <w:szCs w:val="22"/>
        </w:rPr>
        <w:t>投标人</w:t>
      </w:r>
      <w:r>
        <w:rPr>
          <w:rFonts w:hint="eastAsia" w:ascii="宋体" w:hAnsi="宋体" w:cs="宋体"/>
          <w:kern w:val="0"/>
          <w:sz w:val="22"/>
          <w:szCs w:val="22"/>
        </w:rPr>
        <w:t>需提供33张花堆设计图稿。节日</w:t>
      </w:r>
      <w:r>
        <w:rPr>
          <w:rFonts w:ascii="宋体" w:hAnsi="宋体" w:cs="宋体"/>
          <w:kern w:val="0"/>
          <w:sz w:val="22"/>
          <w:szCs w:val="22"/>
        </w:rPr>
        <w:t>花堆投标人需</w:t>
      </w:r>
      <w:r>
        <w:rPr>
          <w:rFonts w:hint="eastAsia" w:ascii="宋体" w:hAnsi="宋体" w:cs="宋体"/>
          <w:kern w:val="0"/>
          <w:sz w:val="22"/>
          <w:szCs w:val="22"/>
        </w:rPr>
        <w:t>对每个花堆</w:t>
      </w:r>
      <w:r>
        <w:rPr>
          <w:rFonts w:ascii="宋体" w:hAnsi="宋体" w:cs="宋体"/>
          <w:kern w:val="0"/>
          <w:sz w:val="22"/>
          <w:szCs w:val="22"/>
        </w:rPr>
        <w:t>至少提供三张（</w:t>
      </w:r>
      <w:r>
        <w:rPr>
          <w:rFonts w:hint="eastAsia" w:ascii="宋体" w:hAnsi="宋体" w:cs="宋体"/>
          <w:kern w:val="0"/>
          <w:sz w:val="22"/>
          <w:szCs w:val="22"/>
        </w:rPr>
        <w:t>分别为</w:t>
      </w:r>
      <w:r>
        <w:rPr>
          <w:rFonts w:ascii="宋体" w:hAnsi="宋体" w:cs="宋体"/>
          <w:kern w:val="0"/>
          <w:sz w:val="22"/>
          <w:szCs w:val="22"/>
        </w:rPr>
        <w:t>五一、十一、春节）花堆设计图稿，11个</w:t>
      </w:r>
      <w:r>
        <w:rPr>
          <w:rFonts w:hint="eastAsia" w:ascii="宋体" w:hAnsi="宋体" w:cs="宋体"/>
          <w:kern w:val="0"/>
          <w:sz w:val="22"/>
          <w:szCs w:val="22"/>
        </w:rPr>
        <w:t>节日</w:t>
      </w:r>
      <w:r>
        <w:rPr>
          <w:rFonts w:ascii="宋体" w:hAnsi="宋体" w:cs="宋体"/>
          <w:kern w:val="0"/>
          <w:sz w:val="22"/>
          <w:szCs w:val="22"/>
        </w:rPr>
        <w:t>花堆需至少提供33张花堆设计图稿。</w:t>
      </w:r>
    </w:p>
    <w:p>
      <w:pPr>
        <w:pStyle w:val="2"/>
        <w:spacing w:after="0" w:line="360" w:lineRule="auto"/>
        <w:ind w:firstLine="440" w:firstLineChars="200"/>
        <w:rPr>
          <w:rFonts w:ascii="宋体" w:hAnsi="宋体" w:cs="宋体"/>
          <w:sz w:val="22"/>
          <w:szCs w:val="22"/>
        </w:rPr>
      </w:pPr>
      <w:r>
        <w:rPr>
          <w:rFonts w:ascii="宋体" w:hAnsi="宋体" w:cs="宋体"/>
          <w:kern w:val="0"/>
          <w:sz w:val="22"/>
          <w:szCs w:val="22"/>
        </w:rPr>
        <w:t>2.2.</w:t>
      </w:r>
      <w:r>
        <w:rPr>
          <w:rFonts w:hint="eastAsia" w:ascii="宋体" w:hAnsi="宋体" w:cs="宋体"/>
          <w:kern w:val="0"/>
          <w:sz w:val="22"/>
          <w:szCs w:val="22"/>
        </w:rPr>
        <w:t>4</w:t>
      </w:r>
      <w:r>
        <w:rPr>
          <w:rFonts w:ascii="宋体" w:hAnsi="宋体" w:cs="宋体"/>
          <w:kern w:val="0"/>
          <w:sz w:val="22"/>
          <w:szCs w:val="22"/>
        </w:rPr>
        <w:t>.</w:t>
      </w:r>
      <w:r>
        <w:rPr>
          <w:rFonts w:hint="eastAsia" w:ascii="宋体" w:hAnsi="宋体" w:cs="宋体"/>
          <w:kern w:val="0"/>
          <w:sz w:val="22"/>
          <w:szCs w:val="22"/>
        </w:rPr>
        <w:t>2花堆</w:t>
      </w:r>
      <w:r>
        <w:rPr>
          <w:rFonts w:ascii="宋体" w:hAnsi="宋体" w:cs="宋体"/>
          <w:sz w:val="22"/>
          <w:szCs w:val="22"/>
        </w:rPr>
        <w:t>需结合</w:t>
      </w:r>
      <w:r>
        <w:rPr>
          <w:rFonts w:hint="eastAsia" w:ascii="宋体" w:hAnsi="宋体" w:cs="宋体"/>
          <w:sz w:val="22"/>
          <w:szCs w:val="22"/>
        </w:rPr>
        <w:t>招标人提供的</w:t>
      </w:r>
      <w:r>
        <w:rPr>
          <w:rFonts w:ascii="宋体" w:hAnsi="宋体" w:cs="宋体"/>
          <w:sz w:val="22"/>
          <w:szCs w:val="22"/>
        </w:rPr>
        <w:t>图示地点提供设计图稿</w:t>
      </w:r>
      <w:r>
        <w:rPr>
          <w:rFonts w:hint="eastAsia" w:ascii="宋体" w:hAnsi="宋体" w:cs="宋体"/>
          <w:sz w:val="22"/>
          <w:szCs w:val="22"/>
        </w:rPr>
        <w:t>。招标人提供的</w:t>
      </w:r>
      <w:r>
        <w:rPr>
          <w:rFonts w:ascii="宋体" w:hAnsi="宋体" w:cs="宋体"/>
          <w:sz w:val="22"/>
          <w:szCs w:val="22"/>
        </w:rPr>
        <w:t>图示地点</w:t>
      </w:r>
      <w:r>
        <w:rPr>
          <w:rFonts w:hint="eastAsia" w:ascii="宋体" w:hAnsi="宋体" w:cs="宋体"/>
          <w:sz w:val="22"/>
          <w:szCs w:val="22"/>
        </w:rPr>
        <w:t>详见招标附件。</w:t>
      </w:r>
    </w:p>
    <w:p>
      <w:pPr>
        <w:pStyle w:val="2"/>
        <w:spacing w:after="0" w:line="360" w:lineRule="auto"/>
        <w:ind w:firstLine="440" w:firstLineChars="200"/>
        <w:rPr>
          <w:rFonts w:ascii="宋体" w:hAnsi="宋体" w:cs="宋体"/>
          <w:sz w:val="22"/>
          <w:szCs w:val="22"/>
        </w:rPr>
      </w:pPr>
      <w:r>
        <w:rPr>
          <w:rFonts w:hint="eastAsia" w:ascii="宋体" w:hAnsi="宋体" w:cs="宋体"/>
          <w:sz w:val="22"/>
          <w:szCs w:val="22"/>
        </w:rPr>
        <w:t>2.2.4.3每张设计图稿需对设计内容做简要说明；标明长宽高，植物花卉品种、规格、数量，硬质景观材质及尺寸。</w:t>
      </w:r>
    </w:p>
    <w:p>
      <w:pPr>
        <w:pStyle w:val="2"/>
        <w:spacing w:after="0" w:line="360" w:lineRule="auto"/>
        <w:ind w:firstLine="440" w:firstLineChars="200"/>
        <w:rPr>
          <w:rFonts w:ascii="宋体" w:hAnsi="宋体" w:cs="宋体"/>
          <w:sz w:val="22"/>
          <w:szCs w:val="22"/>
        </w:rPr>
      </w:pPr>
      <w:r>
        <w:rPr>
          <w:rFonts w:hint="eastAsia" w:ascii="宋体" w:hAnsi="宋体" w:cs="宋体"/>
          <w:sz w:val="22"/>
          <w:szCs w:val="22"/>
        </w:rPr>
        <w:t>2.2.4.4设计图稿需提供电子版及纸质版各一份。要求图片为彩色图片清晰可辨，能明确辨出植物花卉品种。否则视为无效图片。</w:t>
      </w:r>
    </w:p>
    <w:p>
      <w:pPr>
        <w:pStyle w:val="2"/>
        <w:spacing w:after="0" w:line="360" w:lineRule="auto"/>
        <w:ind w:firstLine="440" w:firstLineChars="200"/>
        <w:rPr>
          <w:rFonts w:ascii="宋体" w:hAnsi="宋体" w:cs="宋体"/>
          <w:sz w:val="22"/>
          <w:szCs w:val="22"/>
        </w:rPr>
      </w:pPr>
      <w:r>
        <w:rPr>
          <w:rFonts w:hint="eastAsia" w:ascii="宋体" w:hAnsi="宋体" w:cs="宋体"/>
          <w:sz w:val="22"/>
          <w:szCs w:val="22"/>
        </w:rPr>
        <w:t>2.2.4.5</w:t>
      </w:r>
      <w:r>
        <w:rPr>
          <w:rFonts w:hint="eastAsia" w:ascii="宋体" w:hAnsi="宋体" w:cs="宋体"/>
          <w:kern w:val="0"/>
          <w:sz w:val="22"/>
        </w:rPr>
        <w:t>花堆设计方案需与航站楼整体风格保持一致，整个花堆在设计理念上要融入新颖、时尚的现代元素。体现杭州悠久的历史文化。</w:t>
      </w:r>
      <w:r>
        <w:rPr>
          <w:rFonts w:hint="eastAsia" w:ascii="宋体" w:hAnsi="宋体" w:cs="宋体"/>
          <w:sz w:val="22"/>
          <w:szCs w:val="22"/>
        </w:rPr>
        <w:t>设计图稿须自行创作设计，严禁使用网络图片及现有软件数据库内图片，不得侵犯任何第三方的知识产权，可使用以往自创设计，设计图稿不得重复。</w:t>
      </w:r>
    </w:p>
    <w:p>
      <w:pPr>
        <w:pStyle w:val="2"/>
        <w:spacing w:after="0" w:line="360" w:lineRule="auto"/>
        <w:ind w:firstLine="440" w:firstLineChars="200"/>
        <w:rPr>
          <w:rFonts w:ascii="宋体" w:hAnsi="宋体" w:cs="宋体"/>
          <w:sz w:val="22"/>
          <w:szCs w:val="22"/>
        </w:rPr>
      </w:pPr>
      <w:r>
        <w:rPr>
          <w:rFonts w:hint="eastAsia" w:ascii="宋体" w:hAnsi="宋体" w:cs="宋体"/>
          <w:sz w:val="22"/>
          <w:szCs w:val="22"/>
        </w:rPr>
        <w:t>2.2.4.6花堆点位图如下：</w:t>
      </w:r>
    </w:p>
    <w:p>
      <w:pPr>
        <w:pStyle w:val="2"/>
        <w:spacing w:after="0" w:line="360" w:lineRule="auto"/>
        <w:ind w:firstLine="0" w:firstLineChars="0"/>
      </w:pPr>
      <w:r>
        <w:rPr>
          <w:rFonts w:hint="eastAsia"/>
        </w:rPr>
        <w:drawing>
          <wp:inline distT="0" distB="0" distL="114300" distR="114300">
            <wp:extent cx="5850255" cy="3510280"/>
            <wp:effectExtent l="0" t="0" r="17145" b="13970"/>
            <wp:docPr id="22" name="图片 22" descr="航站楼平面图简化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航站楼平面图简化1"/>
                    <pic:cNvPicPr>
                      <a:picLocks noChangeAspect="1"/>
                    </pic:cNvPicPr>
                  </pic:nvPicPr>
                  <pic:blipFill>
                    <a:blip r:embed="rId23"/>
                    <a:stretch>
                      <a:fillRect/>
                    </a:stretch>
                  </pic:blipFill>
                  <pic:spPr>
                    <a:xfrm>
                      <a:off x="0" y="0"/>
                      <a:ext cx="5850255" cy="3510280"/>
                    </a:xfrm>
                    <a:prstGeom prst="rect">
                      <a:avLst/>
                    </a:prstGeom>
                  </pic:spPr>
                </pic:pic>
              </a:graphicData>
            </a:graphic>
          </wp:inline>
        </w:drawing>
      </w:r>
    </w:p>
    <w:p>
      <w:pPr>
        <w:pStyle w:val="2"/>
        <w:spacing w:after="0" w:line="360" w:lineRule="auto"/>
        <w:ind w:firstLine="0" w:firstLineChars="0"/>
      </w:pPr>
      <w:r>
        <w:drawing>
          <wp:inline distT="0" distB="0" distL="114300" distR="114300">
            <wp:extent cx="5850255" cy="3510280"/>
            <wp:effectExtent l="0" t="0" r="17145" b="13970"/>
            <wp:docPr id="23" name="图片 23" descr="航站楼平面图简化.jp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航站楼平面图简化.jpg2"/>
                    <pic:cNvPicPr>
                      <a:picLocks noChangeAspect="1"/>
                    </pic:cNvPicPr>
                  </pic:nvPicPr>
                  <pic:blipFill>
                    <a:blip r:embed="rId24"/>
                    <a:stretch>
                      <a:fillRect/>
                    </a:stretch>
                  </pic:blipFill>
                  <pic:spPr>
                    <a:xfrm>
                      <a:off x="0" y="0"/>
                      <a:ext cx="5850255" cy="3510280"/>
                    </a:xfrm>
                    <a:prstGeom prst="rect">
                      <a:avLst/>
                    </a:prstGeom>
                  </pic:spPr>
                </pic:pic>
              </a:graphicData>
            </a:graphic>
          </wp:inline>
        </w:drawing>
      </w:r>
    </w:p>
    <w:p>
      <w:pPr>
        <w:pStyle w:val="2"/>
        <w:spacing w:after="0" w:line="360" w:lineRule="auto"/>
        <w:ind w:firstLine="0" w:firstLineChars="0"/>
      </w:pPr>
    </w:p>
    <w:p>
      <w:pPr>
        <w:adjustRightInd w:val="0"/>
        <w:snapToGrid w:val="0"/>
        <w:spacing w:line="360" w:lineRule="auto"/>
        <w:ind w:firstLine="442"/>
        <w:outlineLvl w:val="2"/>
        <w:rPr>
          <w:rFonts w:ascii="宋体" w:hAnsi="宋体" w:cs="宋体"/>
          <w:b/>
          <w:bCs/>
          <w:kern w:val="0"/>
          <w:sz w:val="22"/>
        </w:rPr>
      </w:pPr>
      <w:r>
        <w:rPr>
          <w:rFonts w:hint="eastAsia" w:ascii="宋体" w:hAnsi="宋体" w:cs="宋体"/>
          <w:b/>
          <w:bCs/>
          <w:kern w:val="0"/>
          <w:sz w:val="22"/>
        </w:rPr>
        <w:t>2.3 T1航站楼内庭院养护</w:t>
      </w:r>
    </w:p>
    <w:p>
      <w:pPr>
        <w:adjustRightInd w:val="0"/>
        <w:snapToGrid w:val="0"/>
        <w:spacing w:line="360" w:lineRule="auto"/>
        <w:ind w:firstLine="440"/>
        <w:rPr>
          <w:rFonts w:ascii="宋体" w:hAnsi="宋体" w:cs="宋体"/>
          <w:kern w:val="0"/>
          <w:sz w:val="22"/>
        </w:rPr>
      </w:pPr>
      <w:r>
        <w:rPr>
          <w:rFonts w:hint="eastAsia" w:ascii="宋体" w:hAnsi="宋体" w:cs="宋体"/>
          <w:kern w:val="0"/>
          <w:sz w:val="22"/>
        </w:rPr>
        <w:t>T1航站楼内庭院长84米，宽24.28米，面积约2040平方米。绿化乔木种植有早樱“染井吉野”、厚皮香（塔型）、造型小叶女贞树桩、美人茶、红梅等树种；灌木球类由春鹃球、完美冬青球、龟甲冬青、罗汉松球、茶梅球等；地被植物为南天竹、春鹃、金线菖蒲、花境、矮麦冬、草坪及鹅卵石散铺（植株种类数量详见下表）。水电包括自动喷灌系统。内庭院总配主电源、休息室主供电源、庭院景观灯照明系统和净化池过滤系统等。</w:t>
      </w:r>
    </w:p>
    <w:p>
      <w:pPr>
        <w:pStyle w:val="2"/>
        <w:ind w:firstLine="220"/>
        <w:jc w:val="center"/>
        <w:rPr>
          <w:rFonts w:ascii="黑体" w:hAnsi="黑体" w:eastAsia="黑体" w:cs="黑体"/>
          <w:kern w:val="0"/>
          <w:sz w:val="22"/>
          <w:szCs w:val="22"/>
        </w:rPr>
      </w:pPr>
      <w:r>
        <w:rPr>
          <w:rFonts w:hint="eastAsia" w:ascii="黑体" w:hAnsi="黑体" w:eastAsia="黑体" w:cs="黑体"/>
          <w:kern w:val="0"/>
          <w:sz w:val="22"/>
          <w:szCs w:val="22"/>
        </w:rPr>
        <w:t>表3：T1内庭院植株品种数量表</w:t>
      </w:r>
    </w:p>
    <w:tbl>
      <w:tblPr>
        <w:tblStyle w:val="89"/>
        <w:tblW w:w="9328" w:type="dxa"/>
        <w:jc w:val="center"/>
        <w:tblInd w:w="0" w:type="dxa"/>
        <w:tblLayout w:type="fixed"/>
        <w:tblCellMar>
          <w:top w:w="0" w:type="dxa"/>
          <w:left w:w="0" w:type="dxa"/>
          <w:bottom w:w="0" w:type="dxa"/>
          <w:right w:w="0" w:type="dxa"/>
        </w:tblCellMar>
      </w:tblPr>
      <w:tblGrid>
        <w:gridCol w:w="619"/>
        <w:gridCol w:w="2038"/>
        <w:gridCol w:w="2681"/>
        <w:gridCol w:w="902"/>
        <w:gridCol w:w="901"/>
        <w:gridCol w:w="2187"/>
      </w:tblGrid>
      <w:tr>
        <w:tblPrEx>
          <w:tblLayout w:type="fixed"/>
          <w:tblCellMar>
            <w:top w:w="0" w:type="dxa"/>
            <w:left w:w="0" w:type="dxa"/>
            <w:bottom w:w="0" w:type="dxa"/>
            <w:right w:w="0" w:type="dxa"/>
          </w:tblCellMar>
        </w:tblPrEx>
        <w:trPr>
          <w:trHeight w:val="314" w:hRule="atLeast"/>
          <w:jc w:val="center"/>
        </w:trPr>
        <w:tc>
          <w:tcPr>
            <w:tcW w:w="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序号</w:t>
            </w:r>
          </w:p>
        </w:tc>
        <w:tc>
          <w:tcPr>
            <w:tcW w:w="203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名称</w:t>
            </w:r>
          </w:p>
        </w:tc>
        <w:tc>
          <w:tcPr>
            <w:tcW w:w="268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规格</w:t>
            </w:r>
          </w:p>
        </w:tc>
        <w:tc>
          <w:tcPr>
            <w:tcW w:w="90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单位</w:t>
            </w:r>
          </w:p>
        </w:tc>
        <w:tc>
          <w:tcPr>
            <w:tcW w:w="90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数量</w:t>
            </w:r>
          </w:p>
        </w:tc>
        <w:tc>
          <w:tcPr>
            <w:tcW w:w="21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备注</w:t>
            </w:r>
          </w:p>
        </w:tc>
      </w:tr>
      <w:tr>
        <w:tblPrEx>
          <w:tblLayout w:type="fixed"/>
          <w:tblCellMar>
            <w:top w:w="0" w:type="dxa"/>
            <w:left w:w="0" w:type="dxa"/>
            <w:bottom w:w="0" w:type="dxa"/>
            <w:right w:w="0" w:type="dxa"/>
          </w:tblCellMar>
        </w:tblPrEx>
        <w:trPr>
          <w:trHeight w:val="314" w:hRule="atLeast"/>
          <w:jc w:val="center"/>
        </w:trPr>
        <w:tc>
          <w:tcPr>
            <w:tcW w:w="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c>
          <w:tcPr>
            <w:tcW w:w="203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c>
          <w:tcPr>
            <w:tcW w:w="268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c>
          <w:tcPr>
            <w:tcW w:w="90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c>
          <w:tcPr>
            <w:tcW w:w="9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c>
          <w:tcPr>
            <w:tcW w:w="21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早樱“染井吉野”A</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D13～15</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株型完整，姿态优美</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2</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早樱“染井吉野”B</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D8～10</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株型完整，姿态优美</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厚皮香(塔型)</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H220～250 P120～150</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株型完整，姿态优美</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4</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造型小叶女贞树桩</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H150～180 P180～200</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2</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D70容器苗</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5</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美人茶</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D8～10</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4</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D60容器苗</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6</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红梅</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D8～10</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株型完整，姿态优美</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7</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鸡爪槭</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D8～10</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6</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株型完整，姿态优美</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8</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日本红枫</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D8～10</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D70容器苗</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9</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羽毛枫</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D6～8</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株型完整，姿态优美</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10</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紫薇</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D8～10</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株型完整，姿态优美</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11</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羽毛枫“石榴红”</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D8～10</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株型完整，姿态优美</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12</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柿子树</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top"/>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D10-12</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株型完整，姿态优美</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13</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春鹃（自然形）</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H100～120 P130～150</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12</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D50容器苗</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14</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完美冬青球</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H100～120 P130～150</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D60容器苗</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15</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龟甲冬青“金宝石”</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H40～50 P50～60</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4</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5加仑容器苗</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16</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罗汉松球</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H120～130 P130～150</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球型饱满</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17</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茶梅球</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H60-80 P120～130</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9</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D60容器苗</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18</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滨柃球</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50*40美植袋</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球型饱满</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19</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龟甲冬青球</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H120～130 P130～150</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10</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球型饱满</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20</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无刺枸骨（塔形）</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60*50美植袋 球型饱满</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球型饱满</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21</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银霜女贞</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H60～80 P100～120</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4</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M50容器苗</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22</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喷雪花</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3加仑</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50</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23</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喷雪花</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50美植袋</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24</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厚皮香</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5加仑</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25</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厚皮香</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50*40美植袋</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2</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26</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金叶大花六道木</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10#</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6</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球型饱满</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27</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金叶大花六道木</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50美植袋</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球型饱满</w:t>
            </w: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28</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芭蕉</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2-3株/丛</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丛</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10</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29</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花叶美人蕉</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9盆/平方米，3-5支/盆</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株</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38</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30</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南天竹</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9丛/平方米，3-5枝/丛</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m2</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100.3</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31</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春鹃</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49株/平方米</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m2</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33.7</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32</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兰花三七</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49丛/平方米，3-5芽/丛</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m2</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335.7</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33</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金线菖蒲</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49丛/平方米，3-5芽/丛</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m2</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116</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34</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矮麦冬</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64株/平方米</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m2</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164.5</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35</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马尼拉草坪</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马尼拉草坪</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m2</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50</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36</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石蒜</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25株/平方 间植</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平方</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60</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37</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花叶芦竹</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5-6枝/丛</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丛</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6</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38</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再力花</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5-6枝/丛</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丛</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10</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39</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翠芦莉</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1加仑</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盆</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30</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40</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黄菖蒲</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2加仑</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盆</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10</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r>
      <w:tr>
        <w:tblPrEx>
          <w:tblLayout w:type="fixed"/>
          <w:tblCellMar>
            <w:top w:w="0" w:type="dxa"/>
            <w:left w:w="0" w:type="dxa"/>
            <w:bottom w:w="0" w:type="dxa"/>
            <w:right w:w="0" w:type="dxa"/>
          </w:tblCellMar>
        </w:tblPrEx>
        <w:trPr>
          <w:trHeight w:val="314" w:hRule="atLeast"/>
          <w:jc w:val="center"/>
        </w:trPr>
        <w:tc>
          <w:tcPr>
            <w:tcW w:w="6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41</w:t>
            </w:r>
          </w:p>
        </w:tc>
        <w:tc>
          <w:tcPr>
            <w:tcW w:w="20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睡莲</w:t>
            </w:r>
          </w:p>
        </w:tc>
        <w:tc>
          <w:tcPr>
            <w:tcW w:w="26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5加仑</w:t>
            </w:r>
          </w:p>
        </w:tc>
        <w:tc>
          <w:tcPr>
            <w:tcW w:w="90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盆</w:t>
            </w:r>
          </w:p>
        </w:tc>
        <w:tc>
          <w:tcPr>
            <w:tcW w:w="9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_GB2312" w:hAnsi="仿宋_GB2312" w:eastAsia="仿宋_GB2312" w:cs="仿宋_GB2312"/>
                <w:color w:val="000000"/>
                <w:sz w:val="18"/>
                <w:szCs w:val="18"/>
              </w:rPr>
            </w:pPr>
            <w:r>
              <w:rPr>
                <w:rFonts w:hint="eastAsia" w:ascii="仿宋_GB2312" w:hAnsi="仿宋_GB2312" w:eastAsia="仿宋_GB2312" w:cs="仿宋_GB2312"/>
                <w:color w:val="000000"/>
                <w:kern w:val="0"/>
                <w:sz w:val="18"/>
                <w:szCs w:val="18"/>
                <w:lang w:bidi="ar"/>
              </w:rPr>
              <w:t>10</w:t>
            </w:r>
          </w:p>
        </w:tc>
        <w:tc>
          <w:tcPr>
            <w:tcW w:w="21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仿宋_GB2312" w:eastAsia="仿宋_GB2312" w:cs="仿宋_GB2312"/>
                <w:color w:val="000000"/>
                <w:sz w:val="18"/>
                <w:szCs w:val="18"/>
              </w:rPr>
            </w:pPr>
          </w:p>
        </w:tc>
      </w:tr>
    </w:tbl>
    <w:p>
      <w:pPr>
        <w:pStyle w:val="2"/>
        <w:ind w:firstLine="220"/>
        <w:rPr>
          <w:rFonts w:ascii="宋体" w:hAnsi="宋体" w:cs="宋体"/>
          <w:kern w:val="0"/>
          <w:sz w:val="22"/>
        </w:rPr>
      </w:pPr>
    </w:p>
    <w:p>
      <w:pPr>
        <w:adjustRightInd w:val="0"/>
        <w:snapToGrid w:val="0"/>
        <w:spacing w:line="360" w:lineRule="auto"/>
        <w:ind w:firstLine="440"/>
        <w:rPr>
          <w:rFonts w:ascii="宋体" w:hAnsi="宋体" w:cs="宋体"/>
          <w:kern w:val="0"/>
          <w:sz w:val="22"/>
        </w:rPr>
      </w:pPr>
      <w:r>
        <w:rPr>
          <w:rFonts w:hint="eastAsia" w:ascii="宋体" w:hAnsi="宋体" w:cs="宋体"/>
          <w:kern w:val="0"/>
          <w:sz w:val="22"/>
        </w:rPr>
        <w:t>2.3.1主要养护工作包含：</w:t>
      </w:r>
      <w:r>
        <w:rPr>
          <w:rFonts w:hint="eastAsia" w:ascii="宋体" w:hAnsi="宋体" w:cs="宋体"/>
          <w:color w:val="000000"/>
          <w:kern w:val="0"/>
          <w:sz w:val="22"/>
          <w:lang w:bidi="ar"/>
        </w:rPr>
        <w:t>水池清洗、设备保养、杀菌灯、</w:t>
      </w:r>
      <w:r>
        <w:rPr>
          <w:rFonts w:hint="eastAsia" w:ascii="宋体" w:hAnsi="宋体" w:cs="宋体"/>
          <w:kern w:val="0"/>
          <w:sz w:val="22"/>
          <w:lang w:bidi="ar"/>
        </w:rPr>
        <w:t>景观灯、</w:t>
      </w:r>
      <w:r>
        <w:rPr>
          <w:rFonts w:hint="eastAsia" w:ascii="宋体" w:hAnsi="宋体" w:cs="宋体"/>
          <w:color w:val="000000"/>
          <w:kern w:val="0"/>
          <w:sz w:val="22"/>
          <w:lang w:bidi="ar"/>
        </w:rPr>
        <w:t>木平台及木桥油漆、天桥油漆、投入肥料、环保型杀虫剂、垃圾清运、换苗、补苗、植物养护、鱼和鱼食、休息室维保</w:t>
      </w:r>
      <w:r>
        <w:rPr>
          <w:rFonts w:hint="eastAsia" w:ascii="宋体" w:hAnsi="宋体" w:cs="宋体"/>
          <w:kern w:val="0"/>
          <w:sz w:val="22"/>
          <w:lang w:bidi="ar"/>
        </w:rPr>
        <w:t>。需保证上表所列植株株型完整，姿态优美，如有枯死植株需及时进行补植，费用包含在本项目内。</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2.3.2每月养护工作安排</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w:t>
      </w:r>
      <w:r>
        <w:rPr>
          <w:rFonts w:ascii="宋体" w:hAnsi="宋体" w:cs="宋体"/>
          <w:kern w:val="0"/>
          <w:sz w:val="22"/>
        </w:rPr>
        <w:t>一月份(小寒、大寒) 本月为全年最冷月份，要注意园林植物的防寒越冬。主要工作：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w:t>
      </w:r>
      <w:r>
        <w:rPr>
          <w:rFonts w:ascii="宋体" w:hAnsi="宋体" w:cs="宋体"/>
          <w:kern w:val="0"/>
          <w:sz w:val="22"/>
        </w:rPr>
        <w:t>在上冻前，对植物进行冬灌，时间选在中午进行。</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w:t>
      </w:r>
      <w:r>
        <w:rPr>
          <w:rFonts w:ascii="宋体" w:hAnsi="宋体" w:cs="宋体"/>
          <w:kern w:val="0"/>
          <w:sz w:val="22"/>
        </w:rPr>
        <w:t>根据植物不同习性和不同的观赏要求，对园林树木进行冬季整形修剪。</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w:t>
      </w:r>
      <w:r>
        <w:rPr>
          <w:rFonts w:ascii="宋体" w:hAnsi="宋体" w:cs="宋体"/>
          <w:kern w:val="0"/>
          <w:sz w:val="22"/>
        </w:rPr>
        <w:t>下雪天，及时清除树冠上的积雪，防止压折枝条毁坏树形；道路上应加强巡查，防止含杂质和带融雪剂的积雪堆压在花坛和树穴内。</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w:t>
      </w:r>
      <w:r>
        <w:rPr>
          <w:rFonts w:ascii="宋体" w:hAnsi="宋体" w:cs="宋体"/>
          <w:kern w:val="0"/>
          <w:sz w:val="22"/>
        </w:rPr>
        <w:t>清除越冬害虫，选择最低气温在0摄氏度以上的晴天，对花草树木及其周围环境全面喷洒一次石硫合剂，杀灭越冬病原和害虫。</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w:t>
      </w:r>
      <w:r>
        <w:rPr>
          <w:rFonts w:ascii="宋体" w:hAnsi="宋体" w:cs="宋体"/>
          <w:kern w:val="0"/>
          <w:sz w:val="22"/>
        </w:rPr>
        <w:t>及时清除枯枝落叶及绿地中的杂物、树木上的悬挂物，认真保洁，保持绿地干净卫生。</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（6）</w:t>
      </w:r>
      <w:r>
        <w:rPr>
          <w:rFonts w:ascii="宋体" w:hAnsi="宋体" w:cs="宋体"/>
          <w:kern w:val="0"/>
          <w:sz w:val="22"/>
        </w:rPr>
        <w:t>对新栽树木和不易越冬的临界植物采取防寒保暖措施，使其能够安全越冬。常用方法有：越冬前灌水、修剪掉尚未木质化的嫩枝嫩梢、树干缠绕草绳、在迎风口搭风障、名贵树种和花木搭建保温棚等。</w:t>
      </w:r>
    </w:p>
    <w:p>
      <w:pPr>
        <w:adjustRightInd w:val="0"/>
        <w:snapToGrid w:val="0"/>
        <w:spacing w:line="360" w:lineRule="auto"/>
        <w:ind w:firstLine="44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ascii="宋体" w:hAnsi="宋体" w:cs="宋体"/>
          <w:kern w:val="0"/>
          <w:sz w:val="22"/>
        </w:rPr>
        <w:t>二月份(立春、雨水) 本月气温仍偏低，继续注意园林植物防寒，避免冻害发生。主要工作：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w:t>
      </w:r>
      <w:r>
        <w:rPr>
          <w:rFonts w:ascii="宋体" w:hAnsi="宋体" w:cs="宋体"/>
          <w:kern w:val="0"/>
          <w:sz w:val="22"/>
        </w:rPr>
        <w:t>继续对园林树木进行冬季整形修剪，疏除交叉枝、并列枝、下垂枝、横跨枝、病虫枝及无用的徒长枝等，对超出树冠的过长枝条和留用的徒长枝适当进行中、轻度短截修剪，美化树形、改善树冠内通风透光、减少病虫害发生；月季、紫薇等夏秋季节开花的花灌木，应根据树形树势对所留枝条进行重度短截修剪，一般留至15—20cm（注意剪口芽位置及方向），以利于抽生长势中庸的枝条，增加开花数量，优化花朵质量。</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w:t>
      </w:r>
      <w:r>
        <w:rPr>
          <w:rFonts w:ascii="宋体" w:hAnsi="宋体" w:cs="宋体"/>
          <w:kern w:val="0"/>
          <w:sz w:val="22"/>
        </w:rPr>
        <w:t>用石硫合剂对花草树木再次进行普遍喷洒，杀灭遗漏的越冬病原及害虫；注意草履蚧的提前预防，树干缠绕胶带或涂抹毒环阻止幼小若虫上树。</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w:t>
      </w:r>
      <w:r>
        <w:rPr>
          <w:rFonts w:ascii="宋体" w:hAnsi="宋体" w:cs="宋体"/>
          <w:kern w:val="0"/>
          <w:sz w:val="22"/>
        </w:rPr>
        <w:t>加强绿地的日常养护管理。如遇干冬，应根据实际情况适时浇水，浇水应选在晴天气温高时的中午进行（11：00—下午2:30），忌严寒时节浇水。</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w:t>
      </w:r>
      <w:r>
        <w:rPr>
          <w:rFonts w:ascii="宋体" w:hAnsi="宋体" w:cs="宋体"/>
          <w:kern w:val="0"/>
          <w:sz w:val="22"/>
        </w:rPr>
        <w:t>加强下雪天的巡查，阻止含杂质和带融雪剂的积雪堆积在花坛和树穴内。</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w:t>
      </w:r>
      <w:r>
        <w:rPr>
          <w:rFonts w:ascii="宋体" w:hAnsi="宋体" w:cs="宋体"/>
          <w:kern w:val="0"/>
          <w:sz w:val="22"/>
        </w:rPr>
        <w:t>认真进行卫生清扫和日常保洁，保持绿地干净整洁。</w:t>
      </w:r>
    </w:p>
    <w:p>
      <w:pPr>
        <w:adjustRightInd w:val="0"/>
        <w:snapToGrid w:val="0"/>
        <w:spacing w:line="360" w:lineRule="auto"/>
        <w:ind w:firstLine="44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ascii="宋体" w:hAnsi="宋体" w:cs="宋体"/>
          <w:kern w:val="0"/>
          <w:sz w:val="22"/>
        </w:rPr>
        <w:t>三月份(惊蛰、春分) 本月气温开始回升，天气逐渐变暖。主要工作：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w:t>
      </w:r>
      <w:r>
        <w:rPr>
          <w:rFonts w:ascii="宋体" w:hAnsi="宋体" w:cs="宋体"/>
          <w:kern w:val="0"/>
          <w:sz w:val="22"/>
        </w:rPr>
        <w:t>集中精力进行各类苗木补植补栽。</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w:t>
      </w:r>
      <w:r>
        <w:rPr>
          <w:rFonts w:ascii="宋体" w:hAnsi="宋体" w:cs="宋体"/>
          <w:kern w:val="0"/>
          <w:sz w:val="22"/>
        </w:rPr>
        <w:t>对园林植物开始浇水、施肥。草坪、宿根花卉以及绿篱、模纹等根系分布较浅的植物，根据情况一至两周浇水一次，并结合浇水施1—2次氮肥，促使草坪迅速返青、分蘖、郁闭；树木进行开窝浇水，连浇两遍透水。长势弱的树木可进行根部施肥，也可在叶子长满树时选择阴天或旁晚进行叶背面喷肥（常用根外追肥的肥料有：0.1—0.3%尿素、0.1—0.3%磷酸二氢钾、叶面宝等）</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w:t>
      </w:r>
      <w:r>
        <w:rPr>
          <w:rFonts w:ascii="宋体" w:hAnsi="宋体" w:cs="宋体"/>
          <w:kern w:val="0"/>
          <w:sz w:val="22"/>
        </w:rPr>
        <w:t>清除越冬杂草。</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w:t>
      </w:r>
      <w:r>
        <w:rPr>
          <w:rFonts w:ascii="宋体" w:hAnsi="宋体" w:cs="宋体"/>
          <w:kern w:val="0"/>
          <w:sz w:val="22"/>
        </w:rPr>
        <w:t>进行病虫害防治，主要有蚜虫、紫薇绒蚧；此时也是各种介壳虫防治的最佳时节，因若虫刚孵化尚未形成蜡壳对药物较敏感，一旦形成介壳很难防治。</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w:t>
      </w:r>
      <w:r>
        <w:rPr>
          <w:rFonts w:ascii="宋体" w:hAnsi="宋体" w:cs="宋体"/>
          <w:kern w:val="0"/>
          <w:sz w:val="22"/>
        </w:rPr>
        <w:t>对浇过水的花坛、花带、树穴等及时松土保墒。</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（6）</w:t>
      </w:r>
      <w:r>
        <w:rPr>
          <w:rFonts w:ascii="宋体" w:hAnsi="宋体" w:cs="宋体"/>
          <w:kern w:val="0"/>
          <w:sz w:val="22"/>
        </w:rPr>
        <w:t>加强日常养护管理，认真做好保洁工作。</w:t>
      </w:r>
    </w:p>
    <w:p>
      <w:pPr>
        <w:adjustRightInd w:val="0"/>
        <w:snapToGrid w:val="0"/>
        <w:spacing w:line="360" w:lineRule="auto"/>
        <w:ind w:firstLine="44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四月份(清明、谷雨) 本月气温回升，天气明显变暖。主要工作：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w:t>
      </w:r>
      <w:r>
        <w:rPr>
          <w:rFonts w:ascii="宋体" w:hAnsi="宋体" w:cs="宋体"/>
          <w:kern w:val="0"/>
          <w:sz w:val="22"/>
        </w:rPr>
        <w:t>抢抓时机继续进行春季植物补栽，集中整治绿篱断垄、草坪斑秃，并把长势不好、残损苗木进行更换，保证绿化景观。</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w:t>
      </w:r>
      <w:r>
        <w:rPr>
          <w:rFonts w:ascii="宋体" w:hAnsi="宋体" w:cs="宋体"/>
          <w:kern w:val="0"/>
          <w:sz w:val="22"/>
        </w:rPr>
        <w:t>根据天气情况对园林植物适时浇水。草坪、地被每周浇水2—3次，乔、灌木浇水1—2次；新植树木要浇好头三水，新栽常绿树木浇水同时应注意叶面喷水，防止树木失水死亡（也忌浇水过多引起根系腐烂）。</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w:t>
      </w:r>
      <w:r>
        <w:rPr>
          <w:rFonts w:ascii="宋体" w:hAnsi="宋体" w:cs="宋体"/>
          <w:kern w:val="0"/>
          <w:sz w:val="22"/>
        </w:rPr>
        <w:t>认真做好植物修剪工作。草坪修剪2次，留茬高度3—5cm；绿篱、模纹及整形植物新稍刚发，生长量不大，为增强树势，不易过多过重修剪，“五一”节前修剪1次即可，切忌修剪过重出现干茬，不仅削弱树势，而且影响景观。冬季整形修剪过的树木此时要注意抹芽、除萌，对主、侧枝上和剪口处萌发过多的枝芽应根据需要，有选择性的进行去、留，主干上、根茎部萌发的枝、芽应全部去除。</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w:t>
      </w:r>
      <w:r>
        <w:rPr>
          <w:rFonts w:ascii="宋体" w:hAnsi="宋体" w:cs="宋体"/>
          <w:kern w:val="0"/>
          <w:sz w:val="22"/>
        </w:rPr>
        <w:t>合理施肥。根据植物长势，结合浇水或在阴雨天，适当加施磷钾肥；月季、紫薇等夏季开花的植物此时需肥量稍大，施肥应有所侧重；施肥时应遵照“少量、勤施”的原则，防止肥量大或施肥后浇水不及时而引起“烧苗”现象；新栽植物根系受损，伤口尚未愈合，新根还没长出，一般不进行根部施肥，可根据需要进行树干注射营养液或叶面喷肥。</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w:t>
      </w:r>
      <w:r>
        <w:rPr>
          <w:rFonts w:ascii="宋体" w:hAnsi="宋体" w:cs="宋体"/>
          <w:kern w:val="0"/>
          <w:sz w:val="22"/>
        </w:rPr>
        <w:t>病虫害防治。本月常见的害虫有：蚜虫、光肩星天牛（危害柳树）、锈色粒肩天牛（危害国槐）、星天牛（危害法桐）、紫薇绒蚧、白蜡绵粉蚧、金叶女贞粉蚧、桃球蚧、斑衣蜡蝉等。所以，本月是防治病虫害的关键时期，特别是蚜虫，寄主植物广泛，繁殖速度快，造成的危害明显，因此发现虫情要及时进行科学防治，防止扩散蔓延。病害防治以预防为主，本月下旬发生的主要病害有黄杨白粉病、紫薇白粉病、月季黑斑病等，应加强防范。</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（6）</w:t>
      </w:r>
      <w:r>
        <w:rPr>
          <w:rFonts w:ascii="宋体" w:hAnsi="宋体" w:cs="宋体"/>
          <w:kern w:val="0"/>
          <w:sz w:val="22"/>
        </w:rPr>
        <w:t>做好保洁工作，及时彻底清理绿地内的垃圾、废弃物，保证绿地干净整洁。</w:t>
      </w:r>
    </w:p>
    <w:p>
      <w:pPr>
        <w:adjustRightInd w:val="0"/>
        <w:snapToGrid w:val="0"/>
        <w:spacing w:line="360" w:lineRule="auto"/>
        <w:ind w:firstLine="44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ascii="宋体" w:hAnsi="宋体" w:cs="宋体"/>
          <w:kern w:val="0"/>
          <w:sz w:val="22"/>
        </w:rPr>
        <w:t>五月份(立夏、小满) 本月气温继续升高，主要工作：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w:t>
      </w:r>
      <w:r>
        <w:rPr>
          <w:rFonts w:ascii="宋体" w:hAnsi="宋体" w:cs="宋体"/>
          <w:kern w:val="0"/>
          <w:sz w:val="22"/>
        </w:rPr>
        <w:t>要根据天气情况和植物生长状况，适时对园林植物进行浇水。</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w:t>
      </w:r>
      <w:r>
        <w:rPr>
          <w:rFonts w:ascii="宋体" w:hAnsi="宋体" w:cs="宋体"/>
          <w:kern w:val="0"/>
          <w:sz w:val="22"/>
        </w:rPr>
        <w:t>对暖季型草坪普遍施一次以磷钾肥为主的复合肥，中下旬以后应停止氮肥的使用，以利于提高草坪抗性，增强暖季型草坪抗病能力。</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w:t>
      </w:r>
      <w:r>
        <w:rPr>
          <w:rFonts w:ascii="宋体" w:hAnsi="宋体" w:cs="宋体"/>
          <w:kern w:val="0"/>
          <w:sz w:val="22"/>
        </w:rPr>
        <w:t>认真做好园林植物修剪工作。草坪修剪每周1次，留茬高度3—5㎝；绿篱、模纹及整形植物修剪1—2次，留茬高度应比原高度抬高2—3㎝；主干、根茎部及时抹芽、除萌。</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w:t>
      </w:r>
      <w:r>
        <w:rPr>
          <w:rFonts w:ascii="宋体" w:hAnsi="宋体" w:cs="宋体"/>
          <w:kern w:val="0"/>
          <w:sz w:val="22"/>
        </w:rPr>
        <w:t>花坛花带及时松土保墒。</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w:t>
      </w:r>
      <w:r>
        <w:rPr>
          <w:rFonts w:ascii="宋体" w:hAnsi="宋体" w:cs="宋体"/>
          <w:kern w:val="0"/>
          <w:sz w:val="22"/>
        </w:rPr>
        <w:t xml:space="preserve">加强病虫害防治。除四月份已发生的蚜虫、天牛、紫薇绒蚧、斑衣蜡蝉等害虫继续危害外，地下害虫蛴螬、蜗牛、粉虱、蓟马等害虫开始危害植物；本月中下旬也是红蜘蛛危害盛期，如不及时防治将会造成树木叶片枯黄、脱落。本月发生的主要病害仍然是月季黑斑病，下旬草坪病害也将崭露头角，应轮流交替使用三唑酮、百菌清、甲基托布津等进行科学防治。  </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（6）</w:t>
      </w:r>
      <w:r>
        <w:rPr>
          <w:rFonts w:ascii="宋体" w:hAnsi="宋体" w:cs="宋体"/>
          <w:kern w:val="0"/>
          <w:sz w:val="22"/>
        </w:rPr>
        <w:t>加强养护管理，及时清除绿地中的各类杂物和杂草。</w:t>
      </w:r>
    </w:p>
    <w:p>
      <w:pPr>
        <w:adjustRightInd w:val="0"/>
        <w:snapToGrid w:val="0"/>
        <w:spacing w:line="360" w:lineRule="auto"/>
        <w:ind w:firstLine="440"/>
        <w:jc w:val="left"/>
        <w:rPr>
          <w:rFonts w:ascii="宋体" w:hAnsi="宋体" w:cs="宋体"/>
          <w:kern w:val="0"/>
          <w:sz w:val="22"/>
        </w:rPr>
      </w:pPr>
      <w:r>
        <w:rPr>
          <w:rFonts w:ascii="宋体" w:hAnsi="宋体" w:cs="宋体"/>
          <w:kern w:val="0"/>
          <w:sz w:val="22"/>
        </w:rPr>
        <w:t xml:space="preserve"> 6</w:t>
      </w:r>
      <w:r>
        <w:rPr>
          <w:rFonts w:hint="eastAsia" w:ascii="宋体" w:hAnsi="宋体" w:cs="宋体"/>
          <w:kern w:val="0"/>
          <w:sz w:val="22"/>
        </w:rPr>
        <w:t>.</w:t>
      </w:r>
      <w:r>
        <w:rPr>
          <w:rFonts w:ascii="宋体" w:hAnsi="宋体" w:cs="宋体"/>
          <w:kern w:val="0"/>
          <w:sz w:val="22"/>
        </w:rPr>
        <w:t>六月份(芒种、夏至)  本月气温较高，主要工作：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w:t>
      </w:r>
      <w:r>
        <w:rPr>
          <w:rFonts w:ascii="宋体" w:hAnsi="宋体" w:cs="宋体"/>
          <w:kern w:val="0"/>
          <w:sz w:val="22"/>
        </w:rPr>
        <w:t>根据天气情况和植物生长状况适时进行浇水。草坪每周应浇一次透水；本月中下旬结合浇水或在阴雨天，暖季型草坪适量施一次磷钾肥，增强其抗热、抗病能力。</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w:t>
      </w:r>
      <w:r>
        <w:rPr>
          <w:rFonts w:ascii="宋体" w:hAnsi="宋体" w:cs="宋体"/>
          <w:kern w:val="0"/>
          <w:sz w:val="22"/>
        </w:rPr>
        <w:t>做好植物修剪工作。及时清除干枝、枯叶和树干、基部的萌芽枝条；草坪修剪3—4次，留茬高度3—5㎝；绿篱、模纹及整形植物修剪1—2次，留茬高度应比原高度抬高2—3㎝。</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w:t>
      </w:r>
      <w:r>
        <w:rPr>
          <w:rFonts w:ascii="宋体" w:hAnsi="宋体" w:cs="宋体"/>
          <w:kern w:val="0"/>
          <w:sz w:val="22"/>
        </w:rPr>
        <w:t>加强病虫害防治。本月随着气温升高蚜虫危害逐渐减轻，而红蜘蛛、介壳虫危害加重，应注意防治；另外，六月中旬，天牛进入羽化期，老熟幼虫羽化为成虫后，需要食叶补充营养，然后产卵，可以利用这个时机，在树冠上喷洒杀虫剂，杀灭成虫在产卵前。本月月季根癌病也表现出叶片小、发黄等症状，早期发现该病，可挖出植株，切除病根，并用农用链霉素、高锰酸钾溶液浸根。</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w:t>
      </w:r>
      <w:r>
        <w:rPr>
          <w:rFonts w:ascii="宋体" w:hAnsi="宋体" w:cs="宋体"/>
          <w:kern w:val="0"/>
          <w:sz w:val="22"/>
        </w:rPr>
        <w:t>加强日常养护管理，及时松土保墒、补栽缺株斑秃、消灭黄土裸露，并进行杂草、杂物清除。</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w:t>
      </w:r>
      <w:r>
        <w:rPr>
          <w:rFonts w:ascii="宋体" w:hAnsi="宋体" w:cs="宋体"/>
          <w:kern w:val="0"/>
          <w:sz w:val="22"/>
        </w:rPr>
        <w:t>雨季来临前，对行道树和游人活动场所的树木进行认真排查，及时清理干枯枝和危险树，消除安全隐患。</w:t>
      </w:r>
    </w:p>
    <w:p>
      <w:pPr>
        <w:adjustRightInd w:val="0"/>
        <w:snapToGrid w:val="0"/>
        <w:spacing w:line="360" w:lineRule="auto"/>
        <w:ind w:firstLine="44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w:t>
      </w:r>
      <w:r>
        <w:rPr>
          <w:rFonts w:ascii="宋体" w:hAnsi="宋体" w:cs="宋体"/>
          <w:kern w:val="0"/>
          <w:sz w:val="22"/>
        </w:rPr>
        <w:t>七月份（小暑、大暑)  本月气温较高，主要工作：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w:t>
      </w:r>
      <w:r>
        <w:rPr>
          <w:rFonts w:ascii="宋体" w:hAnsi="宋体" w:cs="宋体"/>
          <w:kern w:val="0"/>
          <w:sz w:val="22"/>
        </w:rPr>
        <w:t>及时浇水，保证植物正常生长；浇水应避开炎热的中午。</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w:t>
      </w:r>
      <w:r>
        <w:rPr>
          <w:rFonts w:ascii="宋体" w:hAnsi="宋体" w:cs="宋体"/>
          <w:kern w:val="0"/>
          <w:sz w:val="22"/>
        </w:rPr>
        <w:t>强化管理，及时松土、除草、保洁。</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w:t>
      </w:r>
      <w:r>
        <w:rPr>
          <w:rFonts w:ascii="宋体" w:hAnsi="宋体" w:cs="宋体"/>
          <w:kern w:val="0"/>
          <w:sz w:val="22"/>
        </w:rPr>
        <w:t>适时进行植物修剪。绿篱、模纹、整形植物修剪1—2次，每次修剪也应适当抬高，防止树势衰弱出现干枯枝和加重病虫危害。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w:t>
      </w:r>
      <w:r>
        <w:rPr>
          <w:rFonts w:ascii="宋体" w:hAnsi="宋体" w:cs="宋体"/>
          <w:kern w:val="0"/>
          <w:sz w:val="22"/>
        </w:rPr>
        <w:t>加强病虫害防治，主要是红蜘蛛、蚧虫和大、小蓑蛾等，此外还要注意地下害虫蛴螬和夜蛾类害虫的防治；本月高温高湿的气候也是草坪褐斑病、镰刀枯萎病、叶斑病等高发期，同时菌核病、蜗牛等病虫害开始出现，月季根癌病、根结线虫病、叶斑病高发，要注意防治。</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w:t>
      </w:r>
      <w:r>
        <w:rPr>
          <w:rFonts w:ascii="宋体" w:hAnsi="宋体" w:cs="宋体"/>
          <w:kern w:val="0"/>
          <w:sz w:val="22"/>
        </w:rPr>
        <w:t>阴雨天草坪薄施一次复合肥，提高草坪抗性。</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（6）</w:t>
      </w:r>
      <w:r>
        <w:rPr>
          <w:rFonts w:ascii="宋体" w:hAnsi="宋体" w:cs="宋体"/>
          <w:kern w:val="0"/>
          <w:sz w:val="22"/>
        </w:rPr>
        <w:t>注意台风过后排涝，防止积水影响植物生长或造成植物死亡。</w:t>
      </w:r>
    </w:p>
    <w:p>
      <w:pPr>
        <w:adjustRightInd w:val="0"/>
        <w:snapToGrid w:val="0"/>
        <w:spacing w:line="360" w:lineRule="auto"/>
        <w:ind w:firstLine="44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ascii="宋体" w:hAnsi="宋体" w:cs="宋体"/>
          <w:kern w:val="0"/>
          <w:sz w:val="22"/>
        </w:rPr>
        <w:t>八月份(立秋、处暑) 本月持续高温，主要工作：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w:t>
      </w:r>
      <w:r>
        <w:rPr>
          <w:rFonts w:ascii="宋体" w:hAnsi="宋体" w:cs="宋体"/>
          <w:kern w:val="0"/>
          <w:sz w:val="22"/>
        </w:rPr>
        <w:t xml:space="preserve">气温高，极易导致干旱，除雨天外应及时给草坪和乔、灌木浇透水，草坪两天一次，浇水应在上午10:00以前，下午3:00以后进行；乔、灌木可根据情况适时进行（已安装自动灌溉系统）。 </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w:t>
      </w:r>
      <w:r>
        <w:rPr>
          <w:rFonts w:ascii="宋体" w:hAnsi="宋体" w:cs="宋体"/>
          <w:kern w:val="0"/>
          <w:sz w:val="22"/>
        </w:rPr>
        <w:t>强化管理，及时保洁、松土保墒。</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w:t>
      </w:r>
      <w:r>
        <w:rPr>
          <w:rFonts w:ascii="宋体" w:hAnsi="宋体" w:cs="宋体"/>
          <w:kern w:val="0"/>
          <w:sz w:val="22"/>
        </w:rPr>
        <w:t>注重植物修剪。草坪修剪2—3次，留茬高度6—9㎝；绿篱、模纹、整形植物修剪1—2次，留茬高度应比原高度抬高2—3㎝；及时剪除干枝枯叶、残梗败花等。</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w:t>
      </w:r>
      <w:r>
        <w:rPr>
          <w:rFonts w:ascii="宋体" w:hAnsi="宋体" w:cs="宋体"/>
          <w:kern w:val="0"/>
          <w:sz w:val="22"/>
        </w:rPr>
        <w:t>做好病虫害防治，本月天气炎热，草坪地下害虫、腐霉枯萎病、菌核病等正处于高发期，月季根癌病、线虫病、叶斑病继续危害，应加强防治；另外，8月份刺蛾处于危害盛期。</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w:t>
      </w:r>
      <w:r>
        <w:rPr>
          <w:rFonts w:ascii="宋体" w:hAnsi="宋体" w:cs="宋体"/>
          <w:kern w:val="0"/>
          <w:sz w:val="22"/>
        </w:rPr>
        <w:t>本月杂草严重，应注重拔除。</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（6）</w:t>
      </w:r>
      <w:r>
        <w:rPr>
          <w:rFonts w:ascii="宋体" w:hAnsi="宋体" w:cs="宋体"/>
          <w:kern w:val="0"/>
          <w:sz w:val="22"/>
        </w:rPr>
        <w:t>继续做好台风天防洪排涝工作。</w:t>
      </w:r>
    </w:p>
    <w:p>
      <w:pPr>
        <w:adjustRightInd w:val="0"/>
        <w:snapToGrid w:val="0"/>
        <w:spacing w:line="360" w:lineRule="auto"/>
        <w:ind w:firstLine="440"/>
        <w:jc w:val="left"/>
        <w:rPr>
          <w:rFonts w:ascii="宋体" w:hAnsi="宋体" w:cs="宋体"/>
          <w:kern w:val="0"/>
          <w:sz w:val="22"/>
        </w:rPr>
      </w:pPr>
      <w:r>
        <w:rPr>
          <w:rFonts w:ascii="宋体" w:hAnsi="宋体" w:cs="宋体"/>
          <w:kern w:val="0"/>
          <w:sz w:val="22"/>
        </w:rPr>
        <w:t>9</w:t>
      </w:r>
      <w:r>
        <w:rPr>
          <w:rFonts w:hint="eastAsia" w:ascii="宋体" w:hAnsi="宋体" w:cs="宋体"/>
          <w:kern w:val="0"/>
          <w:sz w:val="22"/>
        </w:rPr>
        <w:t>.</w:t>
      </w:r>
      <w:r>
        <w:rPr>
          <w:rFonts w:ascii="宋体" w:hAnsi="宋体" w:cs="宋体"/>
          <w:kern w:val="0"/>
          <w:sz w:val="22"/>
        </w:rPr>
        <w:t>九月份（白露、秋分)本月气温逐渐下降，主要工作：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w:t>
      </w:r>
      <w:r>
        <w:rPr>
          <w:rFonts w:ascii="宋体" w:hAnsi="宋体" w:cs="宋体"/>
          <w:kern w:val="0"/>
          <w:sz w:val="22"/>
        </w:rPr>
        <w:t>暖季型草坪消灭黄土裸露，同时要加强肥、水管理，尽快使其恢复生长，迅速郁闭成坪。</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w:t>
      </w:r>
      <w:r>
        <w:rPr>
          <w:rFonts w:ascii="宋体" w:hAnsi="宋体" w:cs="宋体"/>
          <w:kern w:val="0"/>
          <w:sz w:val="22"/>
        </w:rPr>
        <w:t>继续拔除绿地中的杂草，防止秋后杂草结籽落地，增加来年杂草量。</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w:t>
      </w:r>
      <w:r>
        <w:rPr>
          <w:rFonts w:ascii="宋体" w:hAnsi="宋体" w:cs="宋体"/>
          <w:kern w:val="0"/>
          <w:sz w:val="22"/>
        </w:rPr>
        <w:t>加强植物修剪，确保草坪平整边线整齐、模纹美观流畅、绿篱整齐划一、乔灌木树形优美。</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w:t>
      </w:r>
      <w:r>
        <w:rPr>
          <w:rFonts w:ascii="宋体" w:hAnsi="宋体" w:cs="宋体"/>
          <w:kern w:val="0"/>
          <w:sz w:val="22"/>
        </w:rPr>
        <w:t>及时更换花坛草花，补栽绿篱缺株。</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w:t>
      </w:r>
      <w:r>
        <w:rPr>
          <w:rFonts w:ascii="宋体" w:hAnsi="宋体" w:cs="宋体"/>
          <w:kern w:val="0"/>
          <w:sz w:val="22"/>
        </w:rPr>
        <w:t>做好病虫害防治，随着气温降低，各种病虫害危害逐渐减轻，但仍有少量病虫危害，不容忽视。一些植物新梢上会出现蚜虫；此时，天牛已经孵化，进入树体内危害。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（6）</w:t>
      </w:r>
      <w:r>
        <w:rPr>
          <w:rFonts w:ascii="宋体" w:hAnsi="宋体" w:cs="宋体"/>
          <w:kern w:val="0"/>
          <w:sz w:val="22"/>
        </w:rPr>
        <w:t>加强绿地卫生保洁，确保绿地干净整洁。</w:t>
      </w:r>
    </w:p>
    <w:p>
      <w:pPr>
        <w:adjustRightInd w:val="0"/>
        <w:snapToGrid w:val="0"/>
        <w:spacing w:line="360" w:lineRule="auto"/>
        <w:ind w:firstLine="440"/>
        <w:jc w:val="left"/>
        <w:rPr>
          <w:rFonts w:ascii="宋体" w:hAnsi="宋体" w:cs="宋体"/>
          <w:kern w:val="0"/>
          <w:sz w:val="22"/>
        </w:rPr>
      </w:pPr>
      <w:r>
        <w:rPr>
          <w:rFonts w:ascii="宋体" w:hAnsi="宋体" w:cs="宋体"/>
          <w:kern w:val="0"/>
          <w:sz w:val="22"/>
        </w:rPr>
        <w:t>10</w:t>
      </w:r>
      <w:r>
        <w:rPr>
          <w:rFonts w:hint="eastAsia" w:ascii="宋体" w:hAnsi="宋体" w:cs="宋体"/>
          <w:kern w:val="0"/>
          <w:sz w:val="22"/>
        </w:rPr>
        <w:t>.</w:t>
      </w:r>
      <w:r>
        <w:rPr>
          <w:rFonts w:ascii="宋体" w:hAnsi="宋体" w:cs="宋体"/>
          <w:kern w:val="0"/>
          <w:sz w:val="22"/>
        </w:rPr>
        <w:t>十月份(寒露、霜降)气温越来越低，本月主要工作：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w:t>
      </w:r>
      <w:r>
        <w:rPr>
          <w:rFonts w:ascii="宋体" w:hAnsi="宋体" w:cs="宋体"/>
          <w:kern w:val="0"/>
          <w:sz w:val="22"/>
        </w:rPr>
        <w:t>及时对花境花带进行松土、除草和杂物清除。</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w:t>
      </w:r>
      <w:r>
        <w:rPr>
          <w:rFonts w:ascii="宋体" w:hAnsi="宋体" w:cs="宋体"/>
          <w:kern w:val="0"/>
          <w:sz w:val="22"/>
        </w:rPr>
        <w:t>根据天气情况适时浇水，以免影响植物正常生长。</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w:t>
      </w:r>
      <w:r>
        <w:rPr>
          <w:rFonts w:ascii="宋体" w:hAnsi="宋体" w:cs="宋体"/>
          <w:kern w:val="0"/>
          <w:sz w:val="22"/>
        </w:rPr>
        <w:t>做好草坪、绿篱、模纹、整形植物等修剪工作。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w:t>
      </w:r>
      <w:r>
        <w:rPr>
          <w:rFonts w:ascii="宋体" w:hAnsi="宋体" w:cs="宋体"/>
          <w:kern w:val="0"/>
          <w:sz w:val="22"/>
        </w:rPr>
        <w:t>随着气温逐渐降低，大部分病虫危害停止，除蛀干害虫仍然危害外，还有少量蚜虫、蚧虫危害，仍然需要防治。</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w:t>
      </w:r>
      <w:r>
        <w:rPr>
          <w:rFonts w:ascii="宋体" w:hAnsi="宋体" w:cs="宋体"/>
          <w:kern w:val="0"/>
          <w:sz w:val="22"/>
        </w:rPr>
        <w:t>加强卫生保洁，及时清除绿地杂物和乔、灌木上的悬挂物。</w:t>
      </w:r>
    </w:p>
    <w:p>
      <w:pPr>
        <w:adjustRightInd w:val="0"/>
        <w:snapToGrid w:val="0"/>
        <w:spacing w:line="360" w:lineRule="auto"/>
        <w:ind w:firstLine="440"/>
        <w:jc w:val="left"/>
        <w:rPr>
          <w:rFonts w:ascii="宋体" w:hAnsi="宋体" w:cs="宋体"/>
          <w:kern w:val="0"/>
          <w:sz w:val="22"/>
        </w:rPr>
      </w:pPr>
      <w:r>
        <w:rPr>
          <w:rFonts w:ascii="宋体" w:hAnsi="宋体" w:cs="宋体"/>
          <w:kern w:val="0"/>
          <w:sz w:val="22"/>
        </w:rPr>
        <w:t>11</w:t>
      </w:r>
      <w:r>
        <w:rPr>
          <w:rFonts w:hint="eastAsia" w:ascii="宋体" w:hAnsi="宋体" w:cs="宋体"/>
          <w:kern w:val="0"/>
          <w:sz w:val="22"/>
        </w:rPr>
        <w:t>.</w:t>
      </w:r>
      <w:r>
        <w:rPr>
          <w:rFonts w:ascii="宋体" w:hAnsi="宋体" w:cs="宋体"/>
          <w:kern w:val="0"/>
          <w:sz w:val="22"/>
        </w:rPr>
        <w:t>十一月份(立冬、小雪) 天气变冷，本月主要工作：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w:t>
      </w:r>
      <w:r>
        <w:rPr>
          <w:rFonts w:ascii="宋体" w:hAnsi="宋体" w:cs="宋体"/>
          <w:kern w:val="0"/>
          <w:sz w:val="22"/>
        </w:rPr>
        <w:t>在上冻前，给所有植物进行冬灌。</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w:t>
      </w:r>
      <w:r>
        <w:rPr>
          <w:rFonts w:ascii="宋体" w:hAnsi="宋体" w:cs="宋体"/>
          <w:kern w:val="0"/>
          <w:sz w:val="22"/>
        </w:rPr>
        <w:t>对践踏损坏的草坪、树木进行补栽。</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w:t>
      </w:r>
      <w:r>
        <w:rPr>
          <w:rFonts w:ascii="宋体" w:hAnsi="宋体" w:cs="宋体"/>
          <w:kern w:val="0"/>
          <w:sz w:val="22"/>
        </w:rPr>
        <w:t>加强日常养护，及时清除杂物、落叶，绿地保持干净整洁。</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w:t>
      </w:r>
      <w:r>
        <w:rPr>
          <w:rFonts w:ascii="宋体" w:hAnsi="宋体" w:cs="宋体"/>
          <w:kern w:val="0"/>
          <w:sz w:val="22"/>
        </w:rPr>
        <w:t>根据天气情况，开始对已进入休眠期的植物进行冬季整形修剪。</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w:t>
      </w:r>
      <w:r>
        <w:rPr>
          <w:rFonts w:ascii="宋体" w:hAnsi="宋体" w:cs="宋体"/>
          <w:kern w:val="0"/>
          <w:sz w:val="22"/>
        </w:rPr>
        <w:t>有条件的追施一遍腐熟农家肥。</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（6）</w:t>
      </w:r>
      <w:r>
        <w:rPr>
          <w:rFonts w:ascii="宋体" w:hAnsi="宋体" w:cs="宋体"/>
          <w:kern w:val="0"/>
          <w:sz w:val="22"/>
        </w:rPr>
        <w:t>用石硫盐合剂或白石灰进行树干涂白，利于树木越冬保护和病虫防治。</w:t>
      </w:r>
    </w:p>
    <w:p>
      <w:pPr>
        <w:adjustRightInd w:val="0"/>
        <w:snapToGrid w:val="0"/>
        <w:spacing w:line="360" w:lineRule="auto"/>
        <w:ind w:firstLine="440"/>
        <w:jc w:val="left"/>
        <w:rPr>
          <w:rFonts w:ascii="宋体" w:hAnsi="宋体" w:cs="宋体"/>
          <w:kern w:val="0"/>
          <w:sz w:val="22"/>
        </w:rPr>
      </w:pPr>
      <w:r>
        <w:rPr>
          <w:rFonts w:ascii="宋体" w:hAnsi="宋体" w:cs="宋体"/>
          <w:kern w:val="0"/>
          <w:sz w:val="22"/>
        </w:rPr>
        <w:t>七是对园林机械进行维修保养，以备来年使用。</w:t>
      </w:r>
    </w:p>
    <w:p>
      <w:pPr>
        <w:adjustRightInd w:val="0"/>
        <w:snapToGrid w:val="0"/>
        <w:spacing w:line="360" w:lineRule="auto"/>
        <w:ind w:firstLine="440"/>
        <w:jc w:val="left"/>
        <w:rPr>
          <w:rFonts w:ascii="宋体" w:hAnsi="宋体" w:cs="宋体"/>
          <w:kern w:val="0"/>
          <w:sz w:val="22"/>
        </w:rPr>
      </w:pPr>
      <w:r>
        <w:rPr>
          <w:rFonts w:ascii="宋体" w:hAnsi="宋体" w:cs="宋体"/>
          <w:kern w:val="0"/>
          <w:sz w:val="22"/>
        </w:rPr>
        <w:t>12</w:t>
      </w:r>
      <w:r>
        <w:rPr>
          <w:rFonts w:hint="eastAsia" w:ascii="宋体" w:hAnsi="宋体" w:cs="宋体"/>
          <w:kern w:val="0"/>
          <w:sz w:val="22"/>
        </w:rPr>
        <w:t>.</w:t>
      </w:r>
      <w:r>
        <w:rPr>
          <w:rFonts w:ascii="宋体" w:hAnsi="宋体" w:cs="宋体"/>
          <w:kern w:val="0"/>
          <w:sz w:val="22"/>
        </w:rPr>
        <w:t>十二月份(大雪、冬至) 本月主要工作：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w:t>
      </w:r>
      <w:r>
        <w:rPr>
          <w:rFonts w:ascii="宋体" w:hAnsi="宋体" w:cs="宋体"/>
          <w:kern w:val="0"/>
          <w:sz w:val="22"/>
        </w:rPr>
        <w:t>冬季气候比较干燥、注意防风防火。</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w:t>
      </w:r>
      <w:r>
        <w:rPr>
          <w:rFonts w:ascii="宋体" w:hAnsi="宋体" w:cs="宋体"/>
          <w:kern w:val="0"/>
          <w:sz w:val="22"/>
        </w:rPr>
        <w:t>加强管养，及时清除绿地中的杂物和落叶。</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w:t>
      </w:r>
      <w:r>
        <w:rPr>
          <w:rFonts w:ascii="宋体" w:hAnsi="宋体" w:cs="宋体"/>
          <w:kern w:val="0"/>
          <w:sz w:val="22"/>
        </w:rPr>
        <w:t>继续对花灌木和行道树进行整形修剪，美化树形。</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w:t>
      </w:r>
      <w:r>
        <w:rPr>
          <w:rFonts w:ascii="宋体" w:hAnsi="宋体" w:cs="宋体"/>
          <w:kern w:val="0"/>
          <w:sz w:val="22"/>
        </w:rPr>
        <w:t>杀灭越冬虫源，降低越冬病虫基数，减轻来年危害程度。</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w:t>
      </w:r>
      <w:r>
        <w:rPr>
          <w:rFonts w:ascii="宋体" w:hAnsi="宋体" w:cs="宋体"/>
          <w:kern w:val="0"/>
          <w:sz w:val="22"/>
        </w:rPr>
        <w:t>加强卫生清扫保洁，确保绿地干净整洁。</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（6）</w:t>
      </w:r>
      <w:r>
        <w:rPr>
          <w:rFonts w:ascii="宋体" w:hAnsi="宋体" w:cs="宋体"/>
          <w:kern w:val="0"/>
          <w:sz w:val="22"/>
        </w:rPr>
        <w:t>做好树木越冬保护。</w:t>
      </w:r>
    </w:p>
    <w:p>
      <w:pPr>
        <w:adjustRightInd w:val="0"/>
        <w:snapToGrid w:val="0"/>
        <w:spacing w:line="360" w:lineRule="auto"/>
        <w:outlineLvl w:val="1"/>
        <w:rPr>
          <w:rFonts w:ascii="宋体" w:hAnsi="宋体" w:cs="宋体"/>
          <w:b/>
          <w:bCs/>
          <w:kern w:val="0"/>
          <w:sz w:val="22"/>
        </w:rPr>
      </w:pPr>
      <w:r>
        <w:rPr>
          <w:rFonts w:hint="eastAsia" w:ascii="宋体" w:hAnsi="宋体" w:cs="宋体"/>
          <w:b/>
          <w:bCs/>
          <w:kern w:val="0"/>
          <w:sz w:val="22"/>
        </w:rPr>
        <w:t>三、航站楼绿化租摆技术规范要求</w:t>
      </w:r>
    </w:p>
    <w:p>
      <w:pPr>
        <w:pStyle w:val="564"/>
        <w:spacing w:line="560" w:lineRule="exact"/>
        <w:outlineLvl w:val="2"/>
        <w:rPr>
          <w:rFonts w:hAnsi="宋体" w:cs="宋体"/>
          <w:sz w:val="22"/>
        </w:rPr>
      </w:pPr>
      <w:r>
        <w:rPr>
          <w:rFonts w:hint="eastAsia" w:hAnsi="宋体" w:cs="宋体"/>
          <w:sz w:val="22"/>
        </w:rPr>
        <w:t>（一）航站楼绿化摆放管理标准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 目的</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为规范航站楼内绿色植物的摆放，加强绿化管理，优化航站楼整体环境，制定本标准。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 适用范围</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本标准适用于航站楼内绿化的设置、摆放和管理。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 职责</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3.1 航站区管理中心</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3.1.1负责协同机场公司召集相关部门进行航站楼内整体绿化规划工作。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3.1.2负责制定和完善《航站楼绿化摆放管理标准》。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3.2 乙方</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3.2.1 负责航站楼绿化的实施、日常管理工作。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3.2.2 负责协助、指导和督促航站楼内各驻楼单位的绿化工作。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3.2.3负责提供航站楼内绿植/花卉及布置摆放。</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3.2.4负责航站楼内节日、庆典绿植/花卉的方案设计和布置摆放。</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 管理标准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 绿植/花卉摆放标准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 摆放基本原则</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4.1.1.1航站楼绿植/花卉布置应按航站楼内整体绿化规划进行摆放，布局合理，层次分明，疏密有度，高低错落有致。</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4.1.1.2 绿植/花卉的色彩、形态、气质应与空间大小、装饰氛围及功能相协调。</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4.1.1.3 植物群落完整，层次丰富，有整体观赏效果。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4.1.1.4绿植/花卉直线摆放时要求间距相等，做到横平竖直，不得有歪斜现象。</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4.1.1.5 绿植/花卉应组合摆放，讲究艺术性，所用植物品种多样、造型美观、色泽光亮、协调整齐。</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4.1.1.6 大型（整体面积大于20平方米）景观绿化墙、大型绿植/花卉区植物的设置应与整体环境相协调，既庄重典雅，充满艺术情趣，又能显现出自然温馨、生机盎然之感。</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4.1.1.7 中型（整体面积大于10平方米小于20平方米）绿化区域绿植/花卉的设置应追求艺术性，不应一味地简单放置，应与航站楼环境协调统一，突出大方端庄的气氛。</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4.1.1.8 小型（整体面积小于10平方米）绿化区域绿植/花卉的摆放应以满足使用功能为主，选用一些中小型观叶植物来装饰空间，既不妨碍人们的视线，又让人行动自如，突出清净优雅的环境氛围。</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4.1.1.9 临时绿化区域、特殊空间、特殊环境绿植/花卉的摆放应与整体环境相协调，突出造型特色，设计方案应报机场公司相关部门审定，批准后实施。</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 摆放细则</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4.1.2.1 航站楼各出入口门外区域放置的石花钵，钵内放置颜色鲜亮、花卉密集的低成本普通四季草花，石花钵围栏应放置高度不超过40厘米的中小型绿植/花卉。</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4.1.2.2 航站楼各出入口门外区域应放置组合型绿植/花卉，大型观叶植物高度不超过400厘米，周围以中小型绿植及普通花卉围绕，高度不超过100厘米。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4.1.2.3 航站楼各出入口门内靠立柱区域应放置大型常绿观叶植物、常绿灌木或小乔木，高度不超过300厘米。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4.1.2.4 航站楼内自助值机设备附近应放置喜温暖湿润、耐受力较佳的常绿灌木、乔木或观叶植物，高度不超过150厘米。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4.1.2.5航站楼内自助取款机设备附近应放置喜阴的大中型常绿观叶植物、常绿灌木或小乔木，高度不超过300厘米。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4.1.2.6 航站楼问询台台面上应放置观赏性强的高档花卉及组合，高度不超过80厘米，放置于柜台内工作人员的左前方台面或者两侧台面，单个底盘直径不超过30厘米。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4.1.2.7 航站楼头等舱或商务舱柜台台面、高端会员柜台台面应放置观赏性强、品质优良的高档花卉，高度不超过80厘米，放置于柜台内工作人员的左前方台面或者两侧台面，单个底盘直径不超过30厘米。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4.1.2.8 航站楼头等舱或商务舱柜台前迎宾处、高端会员柜台前迎宾处应放置观赏性佳的观叶植物或花期较长的中档花卉，排列整齐，造型美观，不阻碍旅客通行，高度不超过100厘米。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4.1.2.9 航站楼内安检优先通道柜台台面上应放置花期较长、观赏性佳的中高档花卉，高度不超过40厘米，放置于柜台内工作人员的左前方台面，单个底盘直径不超过15厘米。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4.1.2.10航站楼内安检区域硬隔离前应放置常绿观叶植物或小乔木，高度不超过150厘米。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4.1.2.11 航站楼大厅中立柱朝出入口方向侧前方应放置常绿观叶植物、常绿灌木或小乔木，高度不超过400厘米。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4.1.2.12航站楼旅客座椅旁应放置中小型观叶植物或普通花卉，高度不超过80厘米；长凳型旅客座椅区应放置常绿观叶植物或常绿灌木，高度不超过200厘米。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4.1.2.13航站楼值机岛边广告牌下、自动扶梯口广告牌下应放置中小型观叶植物或普通花卉，高度不超过100厘米。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4.1.1.14航站楼大厅船型座椅中间非座位区域应放置花色艳丽、色彩丰富、花期较长的中档花卉或观赏性佳的观叶植物，高度不超过50厘米。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4.1.2.15航站楼内墙边应在恰当位置放置喜阴的大中型常绿观叶植物，高度不超过300厘米。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4.1.2.16航站楼内大型独立显示屏旁、落地式电子广告屏旁应放置常绿的观叶植物或常绿灌木、乔木，高度不超过250厘米。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4.1.2.17航站楼内立牌旁应放置花期较长、观赏性佳的中档花卉或常绿观叶植物，高度不超过150厘米。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4.1.2.18航站楼内连廊处中间位置应放置绿植/花卉组合，选择花色艳丽的中档花卉及常绿观叶植物，高度不超过250厘米，单个组合面积不大于10平方米。连廊靠幕墙玻璃侧每隔10米放置喜阳的大中型常绿乔木、灌木或观叶植物，高度不超过250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4.1.2.19航站楼内自动扶梯/楼梯口附近应放置喜阴、喜温暖湿润的丛生常绿灌木或观叶植物，高度不超过300厘米。自动步道两侧每隔10米应放置中小型普通花卉或常绿观叶植物，高度不超过80厘米。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4.1.2.20航站楼内安检工作人员通道、安检优先通道及门口应放置常绿的灌木、乔木或观叶植物，高度不超过300厘米。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4.1.2.21航站楼内易行贵宾厅前应放置中高档花卉及大中型观叶植物、常绿灌木或乔木，排列整齐，高度不超过300厘米；贵宾厅接待大厅内应放置大中型观叶植物、常绿灌木或乔木，高度不超过300厘米；贵宾厅柜台台面上应放置颜色艳丽、观赏性佳的中高档花卉，高度不超过80厘米，单个底盘直径不超过30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4.1.2.22航站楼内玻璃幕墙前应在合适位置放置大中型观叶植物、常绿灌木或乔木，高度不超过300厘米。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4.1.2.23航站楼隔离区内隔断玻璃前应放置大中型常绿观叶植物或常绿灌木、乔木，高度不超过300厘米。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4.1.2.24航站楼登机口附近立柱旁应放置大中型观叶植物、常绿灌木或乔木，高度不超过400厘米。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4.1.2.25航站楼内行李提取转盘中间空位应放置中小型普通花卉及喜阴、生命力旺盛的绿植，高度不超过150厘米。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4.1.2.26航站楼内悬挂式植物下垂叶面离地面不得低于180厘米。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4.1.2.27 航站楼内放置于地毯上的花器/套盆必须通过密闭性防水测试。</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4.1.2.28因特殊情况需要在地毯等软性装饰地面放置绿植/花卉时，应增加专用美观的隔水毯。</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4.1.2.29航站楼内各单位自营区域花卉摆放要与整体环境协调，标准不得低于本标准。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4.2现场管理标准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4.2.1 按计划及时做好绿植/花卉的摆放、调换及填充。</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4.2.2 进出航站楼的绿化作业人员应佩戴有效工作证件，着装应整齐，携带相应的器具。</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4.2.3作业人员应按操作规程完成绿化作业，符合专业化操作。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4.2.4搬运摆放花卉时应选择航班结束后进行，特殊情况下在得到航站区管理中心同意后方可进行，但必须避开旅客高峰期；影响周围环境卫生的，应及时处理，达到保洁要求；运输工具车不得阻碍旅客通道，保证公共通道的畅通。</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4.2.5对遇到相关内容的服务质量、环境检查、投诉意见等需进行整改的问题，作业单位应在规定的期限内完成整改，并将整改情况及时向航站区管理中心反馈。</w:t>
      </w:r>
    </w:p>
    <w:p>
      <w:pPr>
        <w:pStyle w:val="564"/>
        <w:spacing w:line="560" w:lineRule="exact"/>
        <w:outlineLvl w:val="2"/>
        <w:rPr>
          <w:rFonts w:hAnsi="宋体" w:cs="宋体"/>
          <w:sz w:val="22"/>
        </w:rPr>
      </w:pPr>
      <w:r>
        <w:rPr>
          <w:rFonts w:hint="eastAsia" w:hAnsi="宋体" w:cs="宋体"/>
          <w:sz w:val="22"/>
        </w:rPr>
        <w:t>（二）航站楼绿化养护管理标准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 目的</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为加强航站楼内绿色植物的管理，规范绿化养护行为，为旅客创建一个优美、舒适、和谐的候机环境，制定本标准。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 适用范围</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本标准适用于航站楼内绿化的设置、养护和管理。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 职责</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3.1 航站区管理中心</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3.1.1负责协同机场公司召集相关部门进行航站楼内整体绿化规划工作。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3.1.2负责制定和完善《航站楼绿化养护管理标准》。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3.2 乙方</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3.2.1 负责航站楼绿化的实施、日常管理工作。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3.2.2 负责协助、指导和督促航站楼内各驻楼单位的绿化工作。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3.2.3 负责制定航站楼内绿植/花卉养护计划及保养方案。</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3.2.4负责提供航站楼内绿植/花卉及养护更换工作。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3.2.5负责航站楼内节日、庆典绿植/花卉的方案设计、布置摆放及养护工作。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 管理标准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4.1绿植/花卉维护标准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 绿植/花卉</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4.1.1.1 航站楼内绿植/花卉应选择光度、温度、湿度的耐受程度适宜，观赏性强，观赏周期长的品种。品种选择应多样化，根据所用绿植/花卉的习性及时更新，避免品种单一化。</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4.1.1.2 航站楼内绿植/花卉布局合理，层次分明，错落有致。植物季相分明，色彩艳丽，生长茂盛。</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4.1.1.3 绿植/花卉应长势良好，富有朝气，枝叶茂盛，叶色翠绿，花色鲜艳，保持丰富色彩和香味。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4.1.1.4 绿植/花卉无枯枝、病叶、黄叶、黑叶、无虫咬的孔洞，茎秆和叶子不霉。</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4.1.1.5 叶子健壮，叶色正常，叶面无尘土、污物，保持洁净光亮。</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4.1.1.6 大型常绿观叶植物、常绿灌木等应每周清理叶面，叶面无灰尘或明显污迹。</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4.1.1.7擦拭叶面时应做到下手轻、顺叶脉方向，擦拭后的植物应呈现植物原本叶色。</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4.1.1.8 枝干正常，无明显枯枝、死干，树冠基本完整，主侧枝分布均匀，树冠通风透光。</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4.1.1.9绿植修剪平整，冠幅整洁,线条优美，无明显残叶、残枝、病虫枝。</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4.1.1.10花卉修剪美观，无萎靡状态的残花、败花。</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4.1.1.11 绿植/花卉应根据其生长期定期修剪枝叶，保持统一性及美观性。</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4.1.1.12土壤干湿适度，洁净，无杂物、杂草、纸屑等。</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4.1.1.13铺设陶粒应平整均匀，表面无杂物。</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4.1.1.14绿植/花卉的整体造型应与所选品种的观赏效果一致。</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4.1.1.15及时修剪、整形，美化外形，给绿植/花卉创造良好生长环境，提高观赏性。</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4.1.1.16定期浇水、施肥、松土，充分满足绿植/花卉的生长需要。</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4.1.1.17定时除草、松土，保持土壤疏松通透，无杂草。</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4.1.1.18及时扶正加固绿植/花卉，按规范做好综合防护措施。</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4.1.1.19注意绿植/花卉的病虫害防治，防止病虫害侵蚀花草树木。</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4.1.1.20杀虫药水、植物肥料符合国家安全标准，无严重刺激性气味。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4.1.1.21应根据绿植/花卉的生长情况，适时改变其朝向位置，保持长势。长势特别明显的，应及时修剪，保持植株的整体观赏性。</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 花器/套盆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4.1.2.1 花盆/套盆应与航站楼整体环境相协调，与绿植/花卉造型风格统一。</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4.1.2.2同一区域的花器/套盆种类、花色、大小相同。</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4.1.2.3所有绿植/花卉配有尺寸、风格协调的花器/套盆，套盆与植物的比例适当，不得有大盆套小盆，小盆套大盆的现象。</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4.1.2.4花器/套盆内外洁净整齐，无纸屑、烟头等污物，花器/套盆内不留有积水，四周不得有水浸出，若有溢出及时清理，套盆底盘无污渍。</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4.1.2.5注意花器/套盆的维护，花器/套盆完整，无破损、残痕，对破损的花器/套盆及时进行更换。</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4.1.2.6 更换花器/套盆时，保护绿植/花卉株型姿态不受损，尽量减少花泥及污物的散落。</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4.1.2.7 放置于地毯上的花器/套盆应定期进行防水测试，以保证其不渗漏。</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4.1.2.8 及时添加盆泥，注意周边环境卫生，及时清理积水及污泥等垃圾。</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4.2现场管理标准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4.2.1 维保单位要定期对航站楼内的绿植/花卉生长情况进行巡视， 定期对植物进行浇水、松土、施肥、修剪、换盆、防虫害等养护工作，做到花草繁茂，树木旺盛。</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4.2.2 进出航站楼的养护人员应佩戴有效工作证件，着装应整齐，携带相应的养护器具。</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4.2.3 养护人员应熟知花草树木的名称、科属、生长习性，进行科学养护及管理。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4.2.4 养护人员应按操作规程完成绿化作业，符合专业化操作。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4.2.5 掌握植物养护器械的正确使用方法，对绿植/花卉进行日常维护和保养时应使用专用工具，严格执行器械、药品保管和保养的程序。</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4.2.6 按计划及时做好绿植/花卉的调换、填充。</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4.2.7 绿植/花卉无枯枝、残花，发现后1日内清理更换。</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4.2.8 养护修剪的树枝、残花、枯枝落叶等垃圾必须及时清理，做到工完料清，严禁养护垃圾过夜。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4.2.9 养护人员按规定每日进行巡视、养护，并将养护内容进行记录，对疑问或事故情况及时向主管或相关人员汇报。</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4.2.10日常维护（修剪、浇水）可在白天工作时间内进行，但要尽量避开旅客高峰时段，需要时放置提示牌，避免滑倒旅客，不影响周围环境秩序和卫生。</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4.2.11日常维护工作中，应以旅客先行为主，避让旅客，使用礼貌用语，提示过往旅客注意安全。</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4.2.12 养护期间加强日常监督工作，防止人为因素破坏。</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4.2.13搬运摆放花卉和冲洗养护大型绿植时应选择航班结束后进行，特殊情况下在得到航站区管理中心同意后方可进行，但必须避开旅客高峰期；影响周围环境卫生的，应及时处理，达到保洁要求；运输工具车不得阻碍旅客通道，保证公共通道的畅通。</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4.2.14对遇到相关内容的服务质量、环境检查、投诉意见等需进行整改的问题，维保单位应在规定的期限内完成整改，并将整改情况及时向航站区管理中心反馈。</w:t>
      </w:r>
    </w:p>
    <w:p>
      <w:pPr>
        <w:pStyle w:val="564"/>
        <w:spacing w:line="560" w:lineRule="exact"/>
        <w:outlineLvl w:val="2"/>
        <w:rPr>
          <w:rFonts w:hAnsi="宋体" w:cs="宋体"/>
          <w:sz w:val="22"/>
        </w:rPr>
      </w:pPr>
      <w:r>
        <w:rPr>
          <w:rFonts w:hint="eastAsia" w:hAnsi="宋体" w:cs="宋体"/>
          <w:sz w:val="22"/>
        </w:rPr>
        <w:t>（三）航站楼景观布置管理标准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 目的</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为了规范航站楼内景观小品设计布置，统一规划，从而更好地反映地域文化特色，展示企业文化，制定本标准。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 适用范围</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航站楼内设置的具有艺术性的景观小品，能突出人文特色、展示文化风采，并使旅客获得良好候机体验。</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 术语和定义</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3.1 硬质景观：人工硬质材料制作的景观。</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3.2 软质景观：以植物、水体造型的景观。</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 职责</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 航站区管理中心</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4.1.1 负责航站楼景观布置管理标准的制定与完善。</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4.1.2 负责航站楼整体景观小品布置的规划、设计。</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4.1.3 负责航站楼景观小品的制作及维护。</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 管理标准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5.1 航站楼内景观小品根据设置摆放年限可分为固定、长期（三个月以上、一年以内）、短期（三个月以内）；根据材质可分为硬质景观、软质景观。</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5.2 固定景观小品以航站楼建设投运初期设置为主，后期原则上不再增设；固定景观小品因破损需要拆除，可根据实际情况在原位重新设计布置。</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5.3 航站区管理中心每年应根据不同主题设计规划航站楼内景观小品；并根据节日、喜庆需要，在不同时间段在楼内设置相应短期景观小品。</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5.4 航站楼内景观布置应有专人维护，每日定时巡视；出现破损缺失，应在当日修补或拆除。</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5.5 航站楼内景观小品的现场安装应由具有专业资质的公司执行，须在安装区域无航班或航班结束后进行，不得干扰正常的航站楼运行；景观小品的安装不得改变航站楼结构；安装过程由航站区管理中心监管，投标人施工单位应接受航站区管理中心相应培训，并签订航站楼安保及消防安全责任书。</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5.6 长期、短期景观小品在摆放期满后，应在3日内拆除；拆除应由具有专业资质的公司执行，须在该区域无航班或航班结束后进行，不得干扰正常的航站楼运行；拆除景观后，应恢复该区域原状。</w:t>
      </w:r>
    </w:p>
    <w:p>
      <w:pPr>
        <w:pStyle w:val="2"/>
        <w:ind w:firstLine="220"/>
        <w:rPr>
          <w:rFonts w:ascii="宋体" w:hAnsi="宋体" w:cs="宋体"/>
          <w:kern w:val="0"/>
          <w:sz w:val="22"/>
          <w:szCs w:val="22"/>
        </w:rPr>
      </w:pPr>
      <w:r>
        <w:rPr>
          <w:rFonts w:hint="eastAsia" w:ascii="宋体" w:hAnsi="宋体" w:cs="宋体"/>
          <w:kern w:val="0"/>
          <w:sz w:val="22"/>
          <w:szCs w:val="22"/>
        </w:rPr>
        <w:t>5.7 软质景观标准应同时符合《航站楼绿化管理标准》。</w:t>
      </w:r>
    </w:p>
    <w:p>
      <w:pPr>
        <w:pStyle w:val="564"/>
        <w:spacing w:line="560" w:lineRule="exact"/>
        <w:outlineLvl w:val="2"/>
        <w:rPr>
          <w:rFonts w:hAnsi="宋体" w:cs="宋体"/>
          <w:sz w:val="22"/>
        </w:rPr>
      </w:pPr>
      <w:r>
        <w:rPr>
          <w:rFonts w:hint="eastAsia" w:hAnsi="宋体" w:cs="宋体"/>
          <w:sz w:val="22"/>
        </w:rPr>
        <w:t>（四）航站楼花木租摆技术规范要求</w:t>
      </w:r>
    </w:p>
    <w:p>
      <w:pPr>
        <w:adjustRightInd w:val="0"/>
        <w:snapToGrid w:val="0"/>
        <w:spacing w:line="360" w:lineRule="auto"/>
        <w:ind w:firstLine="442"/>
        <w:jc w:val="left"/>
        <w:rPr>
          <w:rFonts w:ascii="宋体" w:hAnsi="宋体" w:cs="宋体"/>
          <w:kern w:val="0"/>
          <w:sz w:val="22"/>
        </w:rPr>
      </w:pPr>
      <w:r>
        <w:rPr>
          <w:rFonts w:hint="eastAsia" w:ascii="宋体" w:hAnsi="宋体" w:cs="宋体"/>
          <w:kern w:val="0"/>
          <w:sz w:val="22"/>
        </w:rPr>
        <w:t>一、租摆植物的基本要求</w:t>
      </w:r>
      <w:r>
        <w:rPr>
          <w:rFonts w:hint="eastAsia" w:ascii="宋体" w:hAnsi="宋体" w:cs="宋体"/>
          <w:kern w:val="0"/>
          <w:sz w:val="22"/>
        </w:rPr>
        <w:tab/>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1.航站楼内租摆植物的种类、植株规格、摆放位置、放置标准、小品设置、日常维护以及更替均应严格遵守合同规范和甲方规划要求。</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2.负责航站楼内租摆植物的单位应服从甲方管理，积极协助甲方做好航站楼植物租摆工作。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二、租摆植物的摆放要求</w:t>
      </w:r>
      <w:r>
        <w:rPr>
          <w:rFonts w:hint="eastAsia" w:ascii="宋体" w:hAnsi="宋体" w:cs="宋体"/>
          <w:kern w:val="0"/>
          <w:sz w:val="22"/>
        </w:rPr>
        <w:tab/>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 摆放基本原则</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（1）租摆植物的布置应按航站楼内整体绿化规划进行摆放，布局合理，层次分明，疏密有度，高低错落有致。</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（2）租摆植物的色彩、形态、气质应与空间大小、装饰氛围及功能相协调。</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（3）植物群落完整，层次丰富，有整体观赏效果。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（4）租摆植物直线摆放时保持间距相等，做到横平竖直，没有歪斜现象。</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（5）租摆植物应组合摆放，讲究艺术性，所用植物品种多样、造型美观、色泽光亮、协调整齐。</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（6）大型（整体面积大于10平方米）景观绿化墙、大型租摆植物区植物的设置应与整体环境相协调，既庄重典雅，充满艺术情趣，又能显现出自然温馨、生机盎然之感。</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（7）中型（整体面积大于5平方米小于10平方米）绿化区域租摆植物的设置应追求艺术性，与航站楼环境协调统一，突出大方端庄的气氛。</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（8）小型（整体面积小于5平方米）绿化区域租摆植物的摆放应以满足使用功能为主，选用一些中小型观叶植物来装饰空间，既不妨碍人们的视线，又让人行动自如，突出清净优雅的环境氛围。</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（9）临时绿化区域、特殊空间、特殊环境租摆植物的摆放应与整体环境相协调，突出造型特色，设计方案需要报机场公司及相关部门审定，批准后实施。</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2.摆放细则</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（1）航站楼楼前门口应放置石花钵，钵内放置颜色鲜亮、花卉密集的低成本普通四季草花，石花钵围栏应放置高度不超过80厘米的中小型绿植/花卉。</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（2）航站楼前门口应放置组合型植物，大型观叶植物高度不超过400厘米，周围以中小型绿植及普通花卉围绕，高度不超过80厘米。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（3）航站楼大厅入口应放置大型常绿观叶植物、常绿灌木或小乔木，高度不超过300厘米。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（4）航站楼内扶梯边应放置喜阴、喜温暖湿润的丛生常绿灌木或观叶植物，高度不超过300厘米。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（5）航站楼内自助值机柜台附近应放置喜温暖湿润、耐受力较佳的常绿灌木、乔木或观叶植物，高度不超过200厘米。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6）航站楼问询台前应放置观赏性强的高档花卉及组合，高度不超过80厘米，放置于柜台内工作人员的左前方台面，单个底盘直径不超过50厘米；问询台后方应放置喜温暖、耐受力强的常绿乔木、灌木，高度不超过300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（7）航站楼内头等舱或商务舱柜台前、高端会员柜台前应放置观赏性强、品质优良的高档花卉，高度不超过80厘米，放置于柜台内工作人员的左前方台面或者两侧台面，单个底盘直径不超过50厘米。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（8）航站楼内值班主任柜台、安检优先通道前应放置花期较长、观赏性佳的中高档花卉，高度不超过80厘米，放置于柜台内工作人员的左前方台面或者两侧台面，单个底盘直径不超过40厘米。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（9）航站楼大厅中间柱前应放置常绿观叶植物、常绿灌木或小乔木，高度不超过300厘米。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（10）航站楼旅客座椅旁应放置中小型观叶植物或普通花卉，高度不超过80厘米。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（11）航站楼值机岛边广告牌下、大厅船型座椅旁应放置花色艳丽、色彩丰富、花期较长的中档花卉或观赏性佳的观叶植物，高度不超过80厘米。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（12）航站楼内墙边应在恰当位置放置喜阴的大中型常绿观叶植物，高度不超过300厘米。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（13）航站楼内大型独立显示屏旁应放置形状优美、品质优良的高档花卉及组合，高度不超过120厘米。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14）航站楼内连廊处中间位置应放置绿植/花卉组合，选择花色艳丽的中档花卉及常绿观叶植物，高度不超过180厘米，单个组合面积不大于5平方米；连廊靠墙处每隔五米放置喜阳的大中型常绿乔木、灌木或观叶植物，高度不超过300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（15）航站楼内电梯口附近应放置喜阴、喜温暖湿润的丛生常绿灌木或观叶植物，高度不超过300厘米。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（16）航站楼内安检工作人员通道、安检优先通道及门口应放置常绿的灌木、乔木或观叶植物，高度不超过300厘米。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（17）航站楼内自动步道两侧每隔5米应放置中小型普通花卉或常绿观叶植物，高度不超过80厘米。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（18）航站楼内贵宾厅前应放置中高档花卉及大中型观叶植物、常绿灌木或乔木，排列整齐，高度不超过300厘米。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（19）航站楼内行李提取转盘上应放置中小型普通花卉及喜阴、生命力旺盛的绿植，高度不超过200厘米。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（20）航站楼内各单位自营区域花卉摆放要与整体环境协调，标准不得低于本标准。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（21）办公区域的植物摆放应简洁、朴实，烘托出生态办公环境。</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三、绿植景观小品的布置要求</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1.航站楼内绿植景观小品根据设置摆放年限可分为固定、长期（三个月以上、一年以内）、短期（三个月以内）。</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 绿植固定景观小品以航站楼建设投运初期设置为主，后期原则上不再增设；绿植固定景观小品因破损需要拆除，可根据实际情况在原位重新设计布置。</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航站区管理中心每年会根据不同主题设计规划航站楼内绿植景观小品，并根据节日、喜庆需要，在不同时间段在楼内设置相应短期绿植景观小品。摆放单位应积极按航站区管理中心要求进行前期组织、按计划实施及后期场地复原。</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4.航站楼内绿植景观小品应有专人维护，每日定时巡视；出现破损缺失，应在当日修补或拆除。</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航站楼内绿植景观小品的现场安装应由具有专业资质的公司执行，须在安装区域无航班或航班结束后进行，不得干扰正常的航站楼运行；绿植景观小品的安装不得改变航站楼结构；安装过程由航站区管理中心监管，投标人施工单位应接受航站区管理中心相应培训，并签订航站楼安保及消防安全责任书。</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6.长期、短期绿植景观小品在摆放期满后，应在3日内拆除；拆除应由具有专业资质的公司执行，须在该区域无航班或航班结束后进行，不得干扰正常的航站楼运行；拆除景观后，应恢复该区域原状。</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四、租摆植物的维护要求</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1.植株</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（1）航站楼内租摆植物应选择光度、温度、湿度的耐受程度适宜，观赏性强，观赏周期长的品种；品种选择应多样化，根据所用植物的习性及时更新，避免品种单一化。</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（2）航站楼内租摆植物应布局合理层次分明，错落有致；植物季相分明，色彩艳丽，生长茂盛。</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（3）租摆植物应长势良好，枝叶茂盛，叶色翠绿，花色鲜艳，保持丰富色彩和香味。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（4）租摆植物无枯枝、病叶、黄叶、黑叶、无虫咬的孔洞，茎秆和叶子不霉。</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（5）租摆植物的叶子健壮，叶色正常，叶面无尘土、污物，保持洁净光亮。</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（6）擦拭叶面时应做到下手轻、顺叶脉方向，擦拭后的植物应呈现植物原本叶色。</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（7）枝干正常，无明显枯枝、死干，树冠基本完整，主侧枝分布均匀，树冠通风透光。</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（8）绿植修剪平整，冠幅整洁，线条优美，无明显残叶、残枝、病虫枝。</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（9）花卉修剪美观，无萎靡状态的残花、败花。</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（10）土壤干湿适度，洁净，无杂物、杂草、纸屑等。</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（11）陶粒铺设平整均匀，表面无杂物。</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（12）租摆植物的整体造型应与所选品种的观赏效果一致。</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（13）及时修剪、整形，美化外形，给租摆植物创造良好生长环境，提高观赏性。</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（14）定期浇水、施肥、松土，充分满足租摆植物的生长需要。</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（15）定时除草、松土，保持土壤疏松通透，无杂草。</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（16）及时扶正加固植株，按规范做好综合防护措施。</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（17）注意租摆植物的病虫害防治，防止病虫害侵蚀花草树木。</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（18）杀虫药水、植物肥料符合国家安全标准，无严重刺激性气味。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 .花器/套盆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（1）花盆/套盆应与航站楼整体环境相协调，与租摆植物的造型风格统一。</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（2）同一区域的花器/套盆种类、花色、大小相同。</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（3）所有租摆植物配有尺寸、风格协调的花器/套盆，套盆与植物的比例适当，套盆需与外部容器规格一致，颜色保持协调，整体和谐美观象。</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（4）花器/套盆内外洁净整齐，无纸屑、烟头等污物，花器/套盆内不留有积水，四周不得有水浸出，若有溢出及时清理，套盆底盘无污渍。</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（5）注意花器/套盆的维护，花器/套盆完整，无破损、残痕，对破损的花器/套盆及时进行更换。</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（6）更换花器/套盆时，保护租摆植物的株型姿态不受损，尽量减少花泥及污物的散落。</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（7）及时添加盆泥，注意周边环境卫生，及时清理积水及污泥等垃圾。</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(8)航站楼严禁用简易裸露的套盆直接放置布景。</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五、租摆植物的更新要求</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1.特大型植物每年必须更换1次或以上。</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2.超大型、大型植物每年必须更换2次或以上。</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3.中型、小型植物每年必须更换3次或以上。</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4.花卉类植物每年必须更换6-8次或以上。</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5.所有盆花在质量不符合甲方要求时，必须在24小时之内完成更换。</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六、现场管理要求</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1.维保单位要定期对航站楼内的租摆植物生长情况进行巡视， 定期对植物进行浇水、松土、施肥、修剪、换盆、防虫害等养护工作，做到花草繁茂，树木旺盛。</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2.进出航站楼的养护人员应佩戴有效工作证件，着装应整齐，携带相应的养护器具。</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3.养护人员应熟知花草树木的名称、科属、生长习性，进行科学养护及管理。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4.养护人员应按操作规程完成绿化作业，符合专业化操作。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5.掌握植物养护器械的正确使用方法，对租摆植物进行日常维护和保养时应使用专用工具，严格执行器械、药品保管和保养的程序。</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6.按计划及时做好租摆植物的调换、填充。</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7.租摆植物无枯枝、残花，发现后1日内清理更换。</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8.养护修剪的树枝、残花、枯枝落叶等垃圾必须及时清理，做到工完料清，严禁养护垃圾过夜。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9.养护人员按规定每日进行巡视、养护，并将养护内容进行记录，对疑问或事故情况及时向主管或相关人员汇报。</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10.日常维护（修剪、浇水）可在白天工作时间内进行，但要尽量避开旅客高峰时段，需要时放置提示牌，避免滑倒旅客，不影响周围环境秩序和卫生,严禁浇水过程中，将水溢出公共区。</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11.日常维护工作中，应以旅客先行为主，避让旅客，使用礼貌用语，提示过往旅客注意安全。</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12.养护期间加强日常监督工作，防止人为因素破坏。</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13.搬运摆放花卉和冲洗养护大型绿植时应选择航班结束后进行，特殊情况下在得到航站区管理中心同意后方可进行，但必须避开旅客高峰期。</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14.影响周围环境卫生的（如运输、养护、摆放等），应及时处理，达到保洁要求。</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15.绿化运输过程中不得占用手推车，运输工具车不得阻碍旅客通道，保证公共通道的畅通。</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16.对遇到相关内容的服务质量、环境检查、投诉意见等需进行整改的问题，维保单位应在规定的期限内完成整改，并将整改情况及时向航站区管理中心反馈。</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七、养护人员管理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1.养护人员应满足客户对花卉养护的一切合理要求。</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2.每月园艺人员根据客户及植物生长需要上门养护一至二次。</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3.养护内容包括根据植物生长状况进行的浇灌、喷雾、修株整形、营养供给、病虫害防治等。</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4.养护人员在养护过程中应做到植物造形保持美观，摆放合理，叶色自然。铺垫的石子及陶粒保持整齐、干净。</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5.养护人员进行养护时要随身携带干净抹布、剪刀、塑料布、营养液、小喷壶及基本杀虫药剂；发现植物有黄叶、破损叶、多余枝叶要及时修剪，保证花卉定期修剪、无病虫害及花卉无单面长时间缺光。</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6.养护人员在进行养护时，要保证鞋底干净无泥水；桌面、地面及周围设施不被污染及损伤；保证浇完水或浸泡完毕的花卉，没有污水溢流现象。</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7.养护人员在养护工作中，要遵守客户的规章制度，不做与养护无关的事，不妨碍客户的正常工作与经营。</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8.养护期间如植物出现严重黄叶、枯萎死亡现象，随时以相同同种或相近的植物进行替换确保客户的办公环境不受影响。</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9.需做好所服务区域的所有盆花的日常养护（日常浇水、修剪、保洁），不得出现因养护不当枯死现场发生。</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八.其他要求</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1.做好服务区域内租摆植物相关工作的自查，及安排整改。</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2.在合同期内，根据合同要求和布置清单在规定时间内完成盆花租摆所有服务区域的布置。</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3.在合同期内，根据合同要求和甲方布置要求，做好航站楼节日庆典布置和临时会议布置等任务。</w:t>
      </w:r>
    </w:p>
    <w:p>
      <w:pPr>
        <w:pStyle w:val="564"/>
        <w:spacing w:line="560" w:lineRule="exact"/>
        <w:outlineLvl w:val="2"/>
        <w:rPr>
          <w:rFonts w:hAnsi="宋体" w:cs="宋体"/>
          <w:sz w:val="22"/>
        </w:rPr>
      </w:pPr>
      <w:r>
        <w:rPr>
          <w:rFonts w:hint="eastAsia" w:hAnsi="宋体" w:cs="宋体"/>
          <w:sz w:val="22"/>
        </w:rPr>
        <w:t>（五）硬质景观技术要求</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一、硬质景观的基本要求</w:t>
      </w:r>
      <w:r>
        <w:rPr>
          <w:rFonts w:hint="eastAsia" w:ascii="宋体" w:hAnsi="宋体" w:cs="宋体"/>
          <w:kern w:val="0"/>
          <w:sz w:val="22"/>
        </w:rPr>
        <w:tab/>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1、航站楼内花堆中摆放的硬质景观种类、规格、摆放位置、放置标准、日常维护以及更替均应严格遵守合同规范和甲方规划要求，若无法达到甲方要求，甲方有权要求乙方进行更换。</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2、负责航站楼内花堆中摆放硬质景观的单位应服从甲方管理，积极协助甲方做好硬质景观的设置工作。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二、硬质景观的质量要求</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1、硬质景观中使用材料的厚度、长宽、角度、平面度应符合国家相关标准。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2、硬质景观中使用的材料应选择生产规模较大、产品质量标准与产品色泽稳定的厂家。</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3、所有硬质景观中使用的材料必须选用合格品以上产品。</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4、硬质景观中使用的材料要求防火阻燃，边角圆润，色泽鲜艳，表面清洁、无破损、无划痕。</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5、硬质景观中不得使用含有水、电等易存在安全隐患的物品。</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二、硬质景观的摆放及更新要求</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1、硬质景观的造型应与周围花堆造型及植物造型、风格相协调。</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2、严禁在硬质景观中设置任何含广告类性质物品。</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3、固定花堆中的硬质景观要求每季度至少更换一次，造型应与所处季节、氛围相符，节假日花堆中的硬质景观要求与节假日主题相符。</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4、硬质景观要求整体造型立体，每个角度均有观赏价值。</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5、每个花堆中的硬质景观总体大小落地面积不小于2平米，平均高度不小于1.5米。</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6、硬质景观摆放前，乙方应根据合同要求和甲方布置要求将设计方案及计划在规定的时间内提前报送，通过甲方审批后方可实施。</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三、现场管理及维护要求</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1、维保单位要定期对航站楼内硬质景观的情况进行巡视， 定期对硬质景观进行养护工作，做到完整、干净、美观、靓丽。</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2、进出航站楼的养护人员应佩戴有效工作证件，着装应整齐，携带相应的养护器具。</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3、养护人员应熟知硬质景观的用材、构造，掌握硬质景观养护器械的正确使用方法，严格执行器械、药品保管和保养的程序，进行科学、专业化的养护及管理。</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4、按计划及时做好硬质景观的调换、填充。</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5、养护硬质景观产生的垃圾必须及时清理，做到工完料清，恢复周围环境卫生，严禁养护垃圾过夜。</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6、养护人员按规定每日进行巡视、养护，并将养护内容进行记录，对疑问或事故情况及时向主管或相关人员汇报。</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7、日常维护可在白天工作时间内进行，但要尽量避开旅客高峰时段，需要时放置提示牌，避免滑倒旅客，不影响周围环境秩序和卫生。</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8、日常维护工作中，应以旅客先行为主，避让旅客，使用礼貌用语，提示过往旅客注意安全。</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9、养护期间加强日常监督工作，防止人为因素破坏。</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10、搬运大型硬质景观时应选择航班结束后进行，特殊情况下在得到航站区管理中心同意后方可进行，但必须避开旅客高峰期。</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11、硬质景观运输过程中不得占用手推车，运输工具车不得阻碍旅客通道，保证公共通道的畅通。</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12、发现破损应在2个工作日内完成维修，无法维修或维修后影响视觉效果的应在3个工作日内完成更换。</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13、对遇到相关内容的服务质量、环境检查、投诉意见等需进行整改的问题，维保单位应在规定的期限内完成整改，并将整改情况及时向航站区管理中心反馈。</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四、其他要求</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1、做好服务区域内硬质景观相关工作的自查，及安排整改。</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2、在合同期内，根据合同要求和布置清单在规定时间内完成硬质景观所有服务区域的布置。</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t>3、在合同期内，乙方应根据合同要求和甲方布置要求，做好航站楼重大活动或临时活动等的硬质景观布置任务。</w:t>
      </w:r>
    </w:p>
    <w:p>
      <w:pPr>
        <w:adjustRightInd w:val="0"/>
        <w:snapToGrid w:val="0"/>
        <w:spacing w:line="360" w:lineRule="auto"/>
        <w:ind w:firstLine="440"/>
        <w:jc w:val="left"/>
        <w:rPr>
          <w:rFonts w:ascii="宋体" w:hAnsi="宋体" w:cs="宋体"/>
          <w:kern w:val="0"/>
          <w:sz w:val="22"/>
        </w:rPr>
      </w:pPr>
      <w:r>
        <w:rPr>
          <w:rFonts w:hint="eastAsia" w:ascii="宋体" w:hAnsi="宋体" w:cs="宋体"/>
          <w:kern w:val="0"/>
          <w:sz w:val="22"/>
        </w:rPr>
        <w:drawing>
          <wp:anchor distT="0" distB="0" distL="114300" distR="114300" simplePos="0" relativeHeight="251701248" behindDoc="1" locked="0" layoutInCell="1" allowOverlap="1">
            <wp:simplePos x="0" y="0"/>
            <wp:positionH relativeFrom="column">
              <wp:posOffset>2969260</wp:posOffset>
            </wp:positionH>
            <wp:positionV relativeFrom="paragraph">
              <wp:posOffset>264795</wp:posOffset>
            </wp:positionV>
            <wp:extent cx="2788920" cy="2430145"/>
            <wp:effectExtent l="0" t="0" r="11430" b="8255"/>
            <wp:wrapSquare wrapText="bothSides"/>
            <wp:docPr id="34" name="Picture 3" descr="QQ图片20170215164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 descr="QQ图片20170215164247"/>
                    <pic:cNvPicPr>
                      <a:picLocks noChangeAspect="1"/>
                    </pic:cNvPicPr>
                  </pic:nvPicPr>
                  <pic:blipFill>
                    <a:blip r:embed="rId25"/>
                    <a:stretch>
                      <a:fillRect/>
                    </a:stretch>
                  </pic:blipFill>
                  <pic:spPr>
                    <a:xfrm>
                      <a:off x="0" y="0"/>
                      <a:ext cx="2788920" cy="2430145"/>
                    </a:xfrm>
                    <a:prstGeom prst="rect">
                      <a:avLst/>
                    </a:prstGeom>
                    <a:noFill/>
                    <a:ln>
                      <a:noFill/>
                    </a:ln>
                  </pic:spPr>
                </pic:pic>
              </a:graphicData>
            </a:graphic>
          </wp:anchor>
        </w:drawing>
      </w:r>
      <w:r>
        <w:rPr>
          <w:rFonts w:hint="eastAsia" w:ascii="宋体" w:hAnsi="宋体" w:cs="宋体"/>
          <w:kern w:val="0"/>
          <w:sz w:val="22"/>
        </w:rPr>
        <w:drawing>
          <wp:anchor distT="0" distB="0" distL="114300" distR="114300" simplePos="0" relativeHeight="251702272" behindDoc="1" locked="0" layoutInCell="1" allowOverlap="1">
            <wp:simplePos x="0" y="0"/>
            <wp:positionH relativeFrom="column">
              <wp:posOffset>-6350</wp:posOffset>
            </wp:positionH>
            <wp:positionV relativeFrom="paragraph">
              <wp:posOffset>272415</wp:posOffset>
            </wp:positionV>
            <wp:extent cx="2790190" cy="2430145"/>
            <wp:effectExtent l="0" t="0" r="10160" b="8255"/>
            <wp:wrapTight wrapText="bothSides">
              <wp:wrapPolygon>
                <wp:start x="0" y="0"/>
                <wp:lineTo x="0" y="21504"/>
                <wp:lineTo x="21384" y="21504"/>
                <wp:lineTo x="21384" y="0"/>
                <wp:lineTo x="0" y="0"/>
              </wp:wrapPolygon>
            </wp:wrapTight>
            <wp:docPr id="33" name="Picture 4" descr="QQ图片20170215164300"/>
            <wp:cNvGraphicFramePr/>
            <a:graphic xmlns:a="http://schemas.openxmlformats.org/drawingml/2006/main">
              <a:graphicData uri="http://schemas.openxmlformats.org/drawingml/2006/picture">
                <pic:pic xmlns:pic="http://schemas.openxmlformats.org/drawingml/2006/picture">
                  <pic:nvPicPr>
                    <pic:cNvPr id="33" name="Picture 4" descr="QQ图片20170215164300"/>
                    <pic:cNvPicPr/>
                  </pic:nvPicPr>
                  <pic:blipFill>
                    <a:blip r:embed="rId26"/>
                    <a:stretch>
                      <a:fillRect/>
                    </a:stretch>
                  </pic:blipFill>
                  <pic:spPr>
                    <a:xfrm>
                      <a:off x="0" y="0"/>
                      <a:ext cx="2790190" cy="2430145"/>
                    </a:xfrm>
                    <a:prstGeom prst="rect">
                      <a:avLst/>
                    </a:prstGeom>
                    <a:noFill/>
                    <a:ln>
                      <a:noFill/>
                    </a:ln>
                  </pic:spPr>
                </pic:pic>
              </a:graphicData>
            </a:graphic>
          </wp:anchor>
        </w:drawing>
      </w:r>
      <w:r>
        <w:rPr>
          <w:rFonts w:hint="eastAsia" w:ascii="宋体" w:hAnsi="宋体" w:cs="宋体"/>
          <w:kern w:val="0"/>
          <w:sz w:val="22"/>
        </w:rPr>
        <w:t>参考图：</w:t>
      </w:r>
    </w:p>
    <w:p>
      <w:pPr>
        <w:pStyle w:val="2"/>
        <w:ind w:firstLine="210"/>
      </w:pPr>
    </w:p>
    <w:p>
      <w:pPr>
        <w:pStyle w:val="2"/>
        <w:ind w:firstLine="210"/>
      </w:pPr>
    </w:p>
    <w:p>
      <w:pPr>
        <w:widowControl/>
        <w:adjustRightInd w:val="0"/>
        <w:snapToGrid w:val="0"/>
        <w:spacing w:line="360" w:lineRule="auto"/>
        <w:ind w:firstLine="442"/>
        <w:jc w:val="left"/>
        <w:outlineLvl w:val="1"/>
        <w:rPr>
          <w:rFonts w:ascii="宋体" w:hAnsi="宋体" w:cs="宋体"/>
          <w:b/>
          <w:bCs/>
          <w:color w:val="000000"/>
          <w:kern w:val="0"/>
          <w:sz w:val="22"/>
        </w:rPr>
      </w:pPr>
      <w:r>
        <w:rPr>
          <w:rFonts w:hint="eastAsia" w:ascii="宋体" w:hAnsi="宋体" w:cs="宋体"/>
          <w:b/>
          <w:bCs/>
          <w:kern w:val="0"/>
          <w:sz w:val="22"/>
        </w:rPr>
        <w:t>四、</w:t>
      </w:r>
      <w:r>
        <w:rPr>
          <w:rFonts w:hint="eastAsia" w:ascii="宋体" w:hAnsi="宋体" w:cs="宋体"/>
          <w:b/>
          <w:bCs/>
          <w:color w:val="000000"/>
          <w:kern w:val="0"/>
          <w:sz w:val="22"/>
        </w:rPr>
        <w:t xml:space="preserve">办公用房及库房租赁 </w:t>
      </w:r>
    </w:p>
    <w:p>
      <w:pPr>
        <w:widowControl/>
        <w:adjustRightInd w:val="0"/>
        <w:snapToGrid w:val="0"/>
        <w:spacing w:line="360" w:lineRule="auto"/>
        <w:ind w:firstLine="440"/>
        <w:jc w:val="left"/>
        <w:rPr>
          <w:rFonts w:ascii="宋体" w:hAnsi="宋体" w:cs="宋体"/>
          <w:color w:val="000000"/>
          <w:kern w:val="0"/>
          <w:sz w:val="22"/>
        </w:rPr>
      </w:pPr>
      <w:r>
        <w:rPr>
          <w:rFonts w:hint="eastAsia" w:ascii="宋体" w:hAnsi="宋体" w:cs="宋体"/>
          <w:color w:val="000000"/>
          <w:kern w:val="0"/>
          <w:sz w:val="22"/>
        </w:rPr>
        <w:t xml:space="preserve">投标人需要业务用房及库房，则投标人向招标人提出书面申请，经甲方审核同意后，双方另行签署租赁合同，租金按甲方标准收取。 </w:t>
      </w:r>
    </w:p>
    <w:p>
      <w:pPr>
        <w:widowControl/>
        <w:adjustRightInd w:val="0"/>
        <w:snapToGrid w:val="0"/>
        <w:spacing w:line="360" w:lineRule="auto"/>
        <w:ind w:firstLine="440"/>
        <w:jc w:val="left"/>
        <w:rPr>
          <w:rFonts w:ascii="宋体" w:hAnsi="宋体" w:cs="宋体"/>
          <w:color w:val="000000"/>
          <w:kern w:val="0"/>
          <w:sz w:val="22"/>
        </w:rPr>
      </w:pPr>
      <w:r>
        <w:rPr>
          <w:rFonts w:hint="eastAsia" w:ascii="宋体" w:hAnsi="宋体" w:cs="宋体"/>
          <w:color w:val="000000"/>
          <w:kern w:val="0"/>
          <w:sz w:val="22"/>
        </w:rPr>
        <w:t xml:space="preserve">租金标准：国际业务用房及库房收费均为200元/㎡/月，国内业务用房及库房收费为200元/㎡/月和150元/㎡/月。 </w:t>
      </w:r>
    </w:p>
    <w:p>
      <w:pPr>
        <w:widowControl/>
        <w:adjustRightInd w:val="0"/>
        <w:snapToGrid w:val="0"/>
        <w:spacing w:line="360" w:lineRule="auto"/>
        <w:ind w:firstLine="440" w:firstLineChars="200"/>
        <w:jc w:val="left"/>
        <w:rPr>
          <w:rFonts w:ascii="宋体" w:hAnsi="宋体" w:cs="宋体"/>
          <w:kern w:val="0"/>
          <w:sz w:val="22"/>
        </w:rPr>
      </w:pPr>
      <w:r>
        <w:rPr>
          <w:rFonts w:hint="eastAsia" w:ascii="宋体" w:hAnsi="宋体" w:cs="宋体"/>
          <w:color w:val="000000"/>
          <w:kern w:val="0"/>
          <w:sz w:val="22"/>
        </w:rPr>
        <w:t>租金中包括中央空调费用，不包括电费，但业务用房内有受限用电器，且需单独供电的，则甲方将安装电表计量，收取电费。电费支付标准根据政府部门制定的非居民生活用电收费政策执行，电费以供电局电价为基础单价，同时在电费基础上收取电费转供设施维护费（电费转供设施维护费比例15%），统一规定支付，乙方于每年12月份与甲方结算一次电费。如遇国家电价调整，此电价作相应调整，甲方须提供国家增值税正式发票。甲方除电力部门停电或因电力设备检修需要停电的情况外，甲方须保证乙方设备的正常供电。</w:t>
      </w:r>
    </w:p>
    <w:p>
      <w:pPr>
        <w:widowControl/>
        <w:adjustRightInd w:val="0"/>
        <w:snapToGrid w:val="0"/>
        <w:spacing w:line="360" w:lineRule="auto"/>
        <w:ind w:firstLine="442" w:firstLineChars="200"/>
        <w:jc w:val="left"/>
        <w:outlineLvl w:val="1"/>
        <w:rPr>
          <w:rFonts w:ascii="宋体" w:hAnsi="宋体" w:cs="宋体"/>
          <w:b/>
          <w:bCs/>
          <w:color w:val="000000"/>
          <w:kern w:val="0"/>
          <w:sz w:val="22"/>
        </w:rPr>
      </w:pPr>
      <w:r>
        <w:rPr>
          <w:rFonts w:hint="eastAsia" w:ascii="宋体" w:hAnsi="宋体" w:cs="宋体"/>
          <w:b/>
          <w:bCs/>
          <w:kern w:val="0"/>
          <w:sz w:val="22"/>
        </w:rPr>
        <w:t>五、</w:t>
      </w:r>
      <w:r>
        <w:rPr>
          <w:rFonts w:hint="eastAsia" w:ascii="宋体" w:hAnsi="宋体" w:cs="宋体"/>
          <w:b/>
          <w:bCs/>
          <w:color w:val="000000"/>
          <w:kern w:val="0"/>
          <w:sz w:val="22"/>
        </w:rPr>
        <w:t>其它管理要求</w:t>
      </w:r>
    </w:p>
    <w:p>
      <w:pPr>
        <w:widowControl/>
        <w:adjustRightInd w:val="0"/>
        <w:snapToGrid w:val="0"/>
        <w:spacing w:line="360" w:lineRule="auto"/>
        <w:ind w:firstLine="440" w:firstLineChars="200"/>
        <w:jc w:val="left"/>
        <w:rPr>
          <w:rFonts w:ascii="宋体" w:hAnsi="宋体" w:cs="宋体"/>
          <w:color w:val="000000"/>
          <w:kern w:val="0"/>
          <w:sz w:val="22"/>
        </w:rPr>
      </w:pPr>
      <w:r>
        <w:rPr>
          <w:rFonts w:hint="eastAsia" w:ascii="宋体" w:hAnsi="宋体" w:cs="宋体"/>
          <w:kern w:val="0"/>
          <w:sz w:val="22"/>
        </w:rPr>
        <w:t>1.</w:t>
      </w:r>
      <w:r>
        <w:rPr>
          <w:rFonts w:hint="eastAsia" w:ascii="宋体" w:hAnsi="宋体" w:cs="宋体"/>
          <w:color w:val="000000"/>
          <w:kern w:val="0"/>
          <w:sz w:val="22"/>
        </w:rPr>
        <w:t>中标人须在取得《中标通知书》后完成团队全体人员进场及通行证办理。</w:t>
      </w:r>
    </w:p>
    <w:p>
      <w:pPr>
        <w:widowControl/>
        <w:adjustRightInd w:val="0"/>
        <w:snapToGrid w:val="0"/>
        <w:spacing w:line="360" w:lineRule="auto"/>
        <w:ind w:firstLine="440" w:firstLineChars="200"/>
        <w:jc w:val="left"/>
        <w:rPr>
          <w:rFonts w:ascii="宋体" w:hAnsi="宋体" w:cs="宋体"/>
          <w:color w:val="000000"/>
          <w:kern w:val="0"/>
          <w:sz w:val="22"/>
        </w:rPr>
      </w:pPr>
      <w:r>
        <w:rPr>
          <w:rFonts w:hint="eastAsia" w:ascii="宋体" w:hAnsi="宋体" w:cs="宋体"/>
          <w:kern w:val="0"/>
          <w:sz w:val="22"/>
        </w:rPr>
        <w:t>2.</w:t>
      </w:r>
      <w:r>
        <w:rPr>
          <w:rFonts w:hint="eastAsia" w:ascii="宋体" w:hAnsi="宋体" w:cs="宋体"/>
          <w:color w:val="000000"/>
          <w:kern w:val="0"/>
          <w:sz w:val="22"/>
        </w:rPr>
        <w:t>投标人中标入驻后（收到中标通知书），投标人应于7天内编制并提交年度工作计划于招标人相关部门，在签订合同后7天内，向招标人提供完整、规范的服务操作标准与质量管理控制制度、安全管理制度（包括航空安全保卫制度和措施、通行证管理制度等）、培训管理制度等相关的制度和规章性文件。</w:t>
      </w:r>
    </w:p>
    <w:p>
      <w:pPr>
        <w:widowControl/>
        <w:adjustRightInd w:val="0"/>
        <w:snapToGrid w:val="0"/>
        <w:spacing w:line="360" w:lineRule="auto"/>
        <w:ind w:firstLine="440" w:firstLineChars="200"/>
        <w:jc w:val="left"/>
        <w:rPr>
          <w:rFonts w:ascii="宋体" w:hAnsi="宋体" w:cs="宋体"/>
          <w:color w:val="000000"/>
          <w:kern w:val="0"/>
          <w:sz w:val="22"/>
        </w:rPr>
      </w:pPr>
      <w:r>
        <w:rPr>
          <w:rFonts w:hint="eastAsia" w:ascii="宋体" w:hAnsi="宋体" w:cs="宋体"/>
          <w:kern w:val="0"/>
          <w:sz w:val="22"/>
        </w:rPr>
        <w:t>3.</w:t>
      </w:r>
      <w:r>
        <w:rPr>
          <w:rFonts w:hint="eastAsia" w:ascii="宋体" w:hAnsi="宋体" w:cs="宋体"/>
          <w:color w:val="000000"/>
          <w:kern w:val="0"/>
          <w:sz w:val="22"/>
        </w:rPr>
        <w:t>需要说明的是，根据对投标人服务质量的日常检查结果，招标人有权按照服务标准的实现情况，保留对投标人的履约保证金酌情扣减的权利，投标人应在履约保证金扣减后的5 个工作日内将履约保证金补足。</w:t>
      </w:r>
    </w:p>
    <w:p>
      <w:pPr>
        <w:widowControl/>
        <w:adjustRightInd w:val="0"/>
        <w:snapToGrid w:val="0"/>
        <w:spacing w:line="360" w:lineRule="auto"/>
        <w:ind w:firstLine="440" w:firstLineChars="200"/>
        <w:jc w:val="left"/>
        <w:rPr>
          <w:rFonts w:ascii="宋体" w:hAnsi="宋体" w:cs="宋体"/>
          <w:color w:val="000000"/>
          <w:kern w:val="0"/>
          <w:sz w:val="22"/>
        </w:rPr>
      </w:pPr>
      <w:r>
        <w:rPr>
          <w:rFonts w:hint="eastAsia" w:ascii="宋体" w:hAnsi="宋体" w:cs="宋体"/>
          <w:kern w:val="0"/>
          <w:sz w:val="22"/>
        </w:rPr>
        <w:t>4.</w:t>
      </w:r>
      <w:r>
        <w:rPr>
          <w:rFonts w:hint="eastAsia" w:ascii="宋体" w:hAnsi="宋体" w:cs="宋体"/>
          <w:color w:val="000000"/>
          <w:kern w:val="0"/>
          <w:sz w:val="22"/>
        </w:rPr>
        <w:t>投标人中标入驻后，还应遵守以下的航站楼通用管理和服务要求：</w:t>
      </w:r>
    </w:p>
    <w:p>
      <w:pPr>
        <w:widowControl/>
        <w:adjustRightInd w:val="0"/>
        <w:snapToGrid w:val="0"/>
        <w:spacing w:line="360" w:lineRule="auto"/>
        <w:ind w:firstLine="440" w:firstLineChars="200"/>
        <w:jc w:val="left"/>
        <w:rPr>
          <w:rFonts w:ascii="宋体" w:hAnsi="宋体" w:cs="宋体"/>
          <w:color w:val="000000"/>
          <w:kern w:val="0"/>
          <w:sz w:val="22"/>
        </w:rPr>
      </w:pPr>
      <w:r>
        <w:rPr>
          <w:rFonts w:hint="eastAsia" w:ascii="宋体" w:hAnsi="宋体" w:cs="宋体"/>
          <w:color w:val="000000"/>
          <w:kern w:val="0"/>
          <w:sz w:val="22"/>
        </w:rPr>
        <w:t>（1）中标单位所有工作人员需遵守航站区内空防、治安及驻楼员工行为准则和首问责任制等相关要求。</w:t>
      </w:r>
    </w:p>
    <w:p>
      <w:pPr>
        <w:widowControl/>
        <w:adjustRightInd w:val="0"/>
        <w:snapToGrid w:val="0"/>
        <w:spacing w:line="360" w:lineRule="auto"/>
        <w:ind w:firstLine="440" w:firstLineChars="200"/>
        <w:jc w:val="left"/>
        <w:rPr>
          <w:rFonts w:ascii="宋体" w:hAnsi="宋体" w:cs="宋体"/>
          <w:color w:val="000000"/>
          <w:kern w:val="0"/>
          <w:sz w:val="22"/>
        </w:rPr>
      </w:pPr>
      <w:r>
        <w:rPr>
          <w:rFonts w:hint="eastAsia" w:ascii="宋体" w:hAnsi="宋体" w:cs="宋体"/>
          <w:color w:val="000000"/>
          <w:kern w:val="0"/>
          <w:sz w:val="22"/>
        </w:rPr>
        <w:t>（2）委托服务期间，因中标人原因发生重大安全责任事故的，招标人有权终止合同。</w:t>
      </w:r>
    </w:p>
    <w:p>
      <w:pPr>
        <w:widowControl/>
        <w:adjustRightInd w:val="0"/>
        <w:snapToGrid w:val="0"/>
        <w:spacing w:line="360" w:lineRule="auto"/>
        <w:ind w:firstLine="440" w:firstLineChars="200"/>
        <w:jc w:val="left"/>
        <w:rPr>
          <w:rFonts w:ascii="宋体" w:hAnsi="宋体" w:cs="宋体"/>
          <w:color w:val="000000"/>
          <w:kern w:val="0"/>
          <w:sz w:val="22"/>
        </w:rPr>
      </w:pPr>
      <w:r>
        <w:rPr>
          <w:rFonts w:hint="eastAsia" w:ascii="宋体" w:hAnsi="宋体" w:cs="宋体"/>
          <w:kern w:val="0"/>
          <w:sz w:val="22"/>
        </w:rPr>
        <w:t>5.</w:t>
      </w:r>
      <w:r>
        <w:rPr>
          <w:rFonts w:hint="eastAsia" w:ascii="宋体" w:hAnsi="宋体" w:cs="宋体"/>
          <w:color w:val="000000"/>
          <w:kern w:val="0"/>
          <w:sz w:val="22"/>
        </w:rPr>
        <w:t>服务延续性要求</w:t>
      </w:r>
    </w:p>
    <w:p>
      <w:pPr>
        <w:widowControl/>
        <w:adjustRightInd w:val="0"/>
        <w:snapToGrid w:val="0"/>
        <w:spacing w:line="360" w:lineRule="auto"/>
        <w:ind w:firstLine="440" w:firstLineChars="200"/>
        <w:jc w:val="left"/>
        <w:rPr>
          <w:rFonts w:ascii="宋体" w:hAnsi="宋体" w:cs="宋体"/>
          <w:kern w:val="0"/>
          <w:sz w:val="22"/>
        </w:rPr>
      </w:pPr>
      <w:r>
        <w:rPr>
          <w:rFonts w:hint="eastAsia" w:ascii="宋体" w:hAnsi="宋体" w:cs="宋体"/>
          <w:color w:val="000000"/>
          <w:kern w:val="0"/>
          <w:sz w:val="22"/>
        </w:rPr>
        <w:t xml:space="preserve">  在本项目合同到期后双方未能续约或因中标人原因导致合同终止，中标人有义务对新单位做好交接、培训工作，并作为尾款支付和履约保证金退还的考核依据。</w:t>
      </w:r>
    </w:p>
    <w:p>
      <w:pPr>
        <w:widowControl/>
        <w:adjustRightInd w:val="0"/>
        <w:snapToGrid w:val="0"/>
        <w:spacing w:line="360" w:lineRule="auto"/>
        <w:ind w:firstLine="442" w:firstLineChars="200"/>
        <w:jc w:val="left"/>
        <w:outlineLvl w:val="1"/>
        <w:rPr>
          <w:rFonts w:ascii="宋体" w:hAnsi="宋体" w:cs="宋体"/>
          <w:b/>
          <w:bCs/>
          <w:color w:val="000000"/>
          <w:kern w:val="0"/>
          <w:sz w:val="22"/>
        </w:rPr>
      </w:pPr>
      <w:r>
        <w:rPr>
          <w:rFonts w:hint="eastAsia" w:ascii="宋体" w:hAnsi="宋体" w:cs="宋体"/>
          <w:b/>
          <w:bCs/>
          <w:kern w:val="0"/>
          <w:sz w:val="22"/>
        </w:rPr>
        <w:t>六、</w:t>
      </w:r>
      <w:r>
        <w:rPr>
          <w:rFonts w:hint="eastAsia" w:ascii="宋体" w:hAnsi="宋体" w:cs="宋体"/>
          <w:b/>
          <w:bCs/>
          <w:color w:val="000000"/>
          <w:kern w:val="0"/>
          <w:sz w:val="22"/>
        </w:rPr>
        <w:t>工作交接说明</w:t>
      </w:r>
    </w:p>
    <w:p>
      <w:pPr>
        <w:widowControl/>
        <w:adjustRightInd w:val="0"/>
        <w:snapToGrid w:val="0"/>
        <w:spacing w:line="360" w:lineRule="auto"/>
        <w:ind w:firstLine="440" w:firstLineChars="200"/>
        <w:jc w:val="left"/>
        <w:rPr>
          <w:rFonts w:asciiTheme="minorHAnsi" w:hAnsiTheme="minorHAnsi" w:cstheme="minorBidi"/>
          <w:color w:val="000000"/>
        </w:rPr>
      </w:pPr>
      <w:r>
        <w:rPr>
          <w:rFonts w:hint="eastAsia" w:ascii="宋体" w:hAnsi="宋体" w:cs="宋体"/>
          <w:color w:val="000000"/>
          <w:kern w:val="0"/>
          <w:sz w:val="22"/>
        </w:rPr>
        <w:t xml:space="preserve"> （一）航站楼现有</w:t>
      </w:r>
      <w:r>
        <w:rPr>
          <w:rFonts w:hint="eastAsia" w:ascii="宋体" w:hAnsi="宋体" w:cs="宋体"/>
          <w:kern w:val="0"/>
          <w:sz w:val="22"/>
        </w:rPr>
        <w:t>绿化</w:t>
      </w:r>
      <w:r>
        <w:rPr>
          <w:rFonts w:hint="eastAsia" w:ascii="宋体" w:hAnsi="宋体" w:cs="宋体"/>
          <w:color w:val="000000"/>
          <w:kern w:val="0"/>
          <w:sz w:val="22"/>
        </w:rPr>
        <w:t>管理单位服务期限到20</w:t>
      </w:r>
      <w:r>
        <w:rPr>
          <w:rFonts w:hint="eastAsia" w:ascii="宋体" w:hAnsi="宋体" w:cs="宋体"/>
          <w:kern w:val="0"/>
          <w:sz w:val="22"/>
        </w:rPr>
        <w:t>20</w:t>
      </w:r>
      <w:r>
        <w:rPr>
          <w:rFonts w:hint="eastAsia" w:ascii="宋体" w:hAnsi="宋体" w:cs="宋体"/>
          <w:color w:val="000000"/>
          <w:kern w:val="0"/>
          <w:sz w:val="22"/>
        </w:rPr>
        <w:t>年</w:t>
      </w:r>
      <w:r>
        <w:rPr>
          <w:rFonts w:hint="eastAsia" w:ascii="宋体" w:hAnsi="宋体" w:cs="宋体"/>
          <w:kern w:val="0"/>
          <w:sz w:val="22"/>
        </w:rPr>
        <w:t>4</w:t>
      </w:r>
      <w:r>
        <w:rPr>
          <w:rFonts w:hint="eastAsia" w:ascii="宋体" w:hAnsi="宋体" w:cs="宋体"/>
          <w:color w:val="000000"/>
          <w:kern w:val="0"/>
          <w:sz w:val="22"/>
        </w:rPr>
        <w:t>月</w:t>
      </w:r>
      <w:r>
        <w:rPr>
          <w:rFonts w:hint="eastAsia" w:ascii="宋体" w:hAnsi="宋体" w:cs="宋体"/>
          <w:kern w:val="0"/>
          <w:sz w:val="22"/>
        </w:rPr>
        <w:t>30</w:t>
      </w:r>
      <w:r>
        <w:rPr>
          <w:rFonts w:hint="eastAsia" w:ascii="宋体" w:hAnsi="宋体" w:cs="宋体"/>
          <w:color w:val="000000"/>
          <w:kern w:val="0"/>
          <w:sz w:val="22"/>
        </w:rPr>
        <w:t>日为止。本项目中标人必须确保在前款所述时间前组建完整的项目管理团队，并在现有服务期限到期前开展相关的系统接收工作，从本项目委托服务阶段开始正式接管本项目招标服务范围内的系统工作。</w:t>
      </w:r>
    </w:p>
    <w:p>
      <w:pPr>
        <w:widowControl/>
        <w:adjustRightInd w:val="0"/>
        <w:snapToGrid w:val="0"/>
        <w:spacing w:line="360" w:lineRule="auto"/>
        <w:ind w:firstLine="440" w:firstLineChars="200"/>
        <w:jc w:val="left"/>
        <w:rPr>
          <w:rFonts w:ascii="宋体" w:hAnsi="宋体" w:cs="宋体"/>
          <w:color w:val="000000"/>
          <w:kern w:val="0"/>
          <w:sz w:val="22"/>
        </w:rPr>
      </w:pPr>
      <w:r>
        <w:rPr>
          <w:rFonts w:hint="eastAsia" w:ascii="宋体" w:hAnsi="宋体" w:cs="宋体"/>
          <w:color w:val="000000"/>
          <w:kern w:val="0"/>
          <w:sz w:val="22"/>
        </w:rPr>
        <w:t xml:space="preserve"> （二）若由于投标人不能在中标后及时完成相应的团队准备工作，而造成接收工作延迟，招标人将按时间扣除相关的服务费用，扣除相关的绩效考核费用，并要求中标人赔偿可能带来的损失。</w:t>
      </w:r>
    </w:p>
    <w:p>
      <w:pPr>
        <w:widowControl/>
        <w:adjustRightInd w:val="0"/>
        <w:snapToGrid w:val="0"/>
        <w:spacing w:line="360" w:lineRule="auto"/>
        <w:ind w:firstLine="440" w:firstLineChars="200"/>
        <w:jc w:val="left"/>
        <w:rPr>
          <w:rFonts w:ascii="宋体" w:hAnsi="宋体" w:cs="宋体"/>
          <w:color w:val="000000"/>
          <w:kern w:val="0"/>
          <w:sz w:val="22"/>
        </w:rPr>
      </w:pPr>
      <w:r>
        <w:rPr>
          <w:rFonts w:hint="eastAsia" w:ascii="宋体" w:hAnsi="宋体" w:cs="宋体"/>
          <w:color w:val="000000"/>
          <w:kern w:val="0"/>
          <w:sz w:val="22"/>
        </w:rPr>
        <w:t>（三）本委托合同结束后如不续约，需与后续管理单位做好交接工作，若由于本委托合同投标人的原因造成交接工作延迟或影响项目整体的运行，招标人将按情况扣除相关的服务费用，扣除相关的绩效考核费用，并要求本委托合同投标人赔偿可能带来的损失。</w:t>
      </w:r>
    </w:p>
    <w:p>
      <w:pPr>
        <w:widowControl/>
        <w:adjustRightInd w:val="0"/>
        <w:snapToGrid w:val="0"/>
        <w:spacing w:line="360" w:lineRule="auto"/>
        <w:ind w:firstLine="440" w:firstLineChars="200"/>
        <w:jc w:val="left"/>
        <w:rPr>
          <w:rFonts w:ascii="宋体" w:hAnsi="宋体" w:cs="宋体"/>
          <w:color w:val="000000"/>
          <w:kern w:val="0"/>
          <w:sz w:val="22"/>
        </w:rPr>
      </w:pPr>
      <w:r>
        <w:rPr>
          <w:rFonts w:hint="eastAsia" w:ascii="宋体" w:hAnsi="宋体" w:cs="宋体"/>
          <w:color w:val="000000"/>
          <w:kern w:val="0"/>
          <w:sz w:val="22"/>
        </w:rPr>
        <w:t>（四）本次中标人需根据招标要求和招标清单在3天内完成所有投标人供应的花器的清点、交接工作和周转花花器的转移搬运工作。</w:t>
      </w:r>
    </w:p>
    <w:p>
      <w:pPr>
        <w:widowControl/>
        <w:adjustRightInd w:val="0"/>
        <w:snapToGrid w:val="0"/>
        <w:spacing w:line="360" w:lineRule="auto"/>
        <w:ind w:firstLine="442" w:firstLineChars="200"/>
        <w:jc w:val="left"/>
        <w:rPr>
          <w:b/>
          <w:bCs/>
        </w:rPr>
      </w:pPr>
      <w:r>
        <w:rPr>
          <w:rFonts w:hint="eastAsia" w:ascii="宋体" w:hAnsi="宋体" w:cs="宋体"/>
          <w:b/>
          <w:bCs/>
          <w:color w:val="000000"/>
          <w:kern w:val="0"/>
          <w:sz w:val="22"/>
        </w:rPr>
        <w:t>特别说明：标注“</w:t>
      </w:r>
      <w:r>
        <w:rPr>
          <w:rFonts w:hint="eastAsia" w:ascii="宋体" w:hAnsi="宋体" w:cs="宋体"/>
        </w:rPr>
        <w:t>★</w:t>
      </w:r>
      <w:r>
        <w:rPr>
          <w:rFonts w:hint="eastAsia" w:ascii="宋体" w:hAnsi="宋体" w:cs="宋体"/>
          <w:b/>
          <w:bCs/>
          <w:color w:val="000000"/>
          <w:kern w:val="0"/>
          <w:sz w:val="22"/>
        </w:rPr>
        <w:t>”号的为关键条款，对这些关键条款的任何偏离将导致废标。</w:t>
      </w:r>
    </w:p>
    <w:p>
      <w:r>
        <w:rPr>
          <w:rFonts w:hint="eastAsia"/>
        </w:rPr>
        <w:br w:type="page"/>
      </w:r>
    </w:p>
    <w:p>
      <w:pPr>
        <w:pStyle w:val="4"/>
        <w:spacing w:line="564" w:lineRule="exact"/>
        <w:ind w:right="57"/>
        <w:jc w:val="center"/>
        <w:rPr>
          <w:b w:val="0"/>
          <w:bCs w:val="0"/>
        </w:rPr>
      </w:pPr>
      <w:r>
        <w:rPr>
          <w:rFonts w:hint="eastAsia"/>
          <w:b w:val="0"/>
          <w:bCs w:val="0"/>
        </w:rPr>
        <w:t>第六章</w:t>
      </w:r>
      <w:r>
        <w:rPr>
          <w:b w:val="0"/>
          <w:bCs w:val="0"/>
        </w:rPr>
        <w:t xml:space="preserve">  </w:t>
      </w:r>
      <w:r>
        <w:rPr>
          <w:rFonts w:hint="eastAsia"/>
          <w:b w:val="0"/>
          <w:bCs w:val="0"/>
        </w:rPr>
        <w:t>投标文件格式</w:t>
      </w:r>
      <w:bookmarkEnd w:id="32"/>
    </w:p>
    <w:p>
      <w:pPr>
        <w:pStyle w:val="4"/>
        <w:spacing w:line="564" w:lineRule="exact"/>
        <w:ind w:right="57"/>
        <w:jc w:val="center"/>
        <w:rPr>
          <w:b w:val="0"/>
          <w:bCs w:val="0"/>
        </w:rPr>
        <w:sectPr>
          <w:headerReference r:id="rId13" w:type="default"/>
          <w:footerReference r:id="rId14"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ind w:right="4013"/>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ind w:firstLine="0"/>
        <w:rPr>
          <w:rStyle w:val="1783"/>
          <w:sz w:val="22"/>
          <w:szCs w:val="22"/>
        </w:rPr>
      </w:pPr>
      <w:r>
        <w:rPr>
          <w:rStyle w:val="1783"/>
          <w:rFonts w:hint="eastAsia"/>
          <w:sz w:val="22"/>
          <w:szCs w:val="22"/>
        </w:rPr>
        <w:t>二、法定代表人身份证明</w:t>
      </w:r>
      <w:r>
        <w:rPr>
          <w:rStyle w:val="1783"/>
          <w:sz w:val="22"/>
          <w:szCs w:val="22"/>
        </w:rPr>
        <w:t xml:space="preserve"> </w:t>
      </w:r>
      <w:r>
        <w:rPr>
          <w:rStyle w:val="1783"/>
          <w:rFonts w:hint="eastAsia"/>
          <w:sz w:val="22"/>
          <w:szCs w:val="22"/>
        </w:rPr>
        <w:t xml:space="preserve">、授权委托书(适用于有委托代理人的情况, </w:t>
      </w:r>
      <w:r>
        <w:rPr>
          <w:rStyle w:val="1783"/>
          <w:rFonts w:hint="eastAsia"/>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rFonts w:hint="eastAsia"/>
          <w:b/>
          <w:sz w:val="22"/>
          <w:szCs w:val="22"/>
        </w:rPr>
        <w:t>）在本企业缴纳的时间要求。投标文件中可使用社保证明的复制件但须同时加盖投标人印章</w:t>
      </w:r>
      <w:r>
        <w:rPr>
          <w:rStyle w:val="1783"/>
          <w:rFonts w:hint="eastAsia"/>
          <w:sz w:val="22"/>
          <w:szCs w:val="22"/>
        </w:rPr>
        <w:t>)</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三、</w:t>
      </w:r>
      <w:r>
        <w:rPr>
          <w:rFonts w:hint="eastAsia" w:ascii="微软雅黑" w:hAnsi="Times New Roman" w:cs="微软雅黑"/>
          <w:spacing w:val="-2"/>
          <w:kern w:val="0"/>
          <w:sz w:val="22"/>
        </w:rPr>
        <w:t>投</w:t>
      </w:r>
      <w:r>
        <w:rPr>
          <w:rFonts w:hint="eastAsia" w:ascii="微软雅黑" w:hAnsi="Times New Roman" w:cs="微软雅黑"/>
          <w:kern w:val="0"/>
          <w:sz w:val="22"/>
        </w:rPr>
        <w:t>标</w:t>
      </w:r>
      <w:r>
        <w:rPr>
          <w:rFonts w:hint="eastAsia" w:ascii="微软雅黑" w:hAnsi="Times New Roman" w:cs="微软雅黑"/>
          <w:spacing w:val="-2"/>
          <w:kern w:val="0"/>
          <w:sz w:val="22"/>
        </w:rPr>
        <w:t>保</w:t>
      </w:r>
      <w:r>
        <w:rPr>
          <w:rFonts w:hint="eastAsia" w:ascii="微软雅黑" w:hAnsi="Times New Roman" w:cs="微软雅黑"/>
          <w:kern w:val="0"/>
          <w:sz w:val="22"/>
        </w:rPr>
        <w:t>证金</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四、</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ind w:right="5071"/>
        <w:jc w:val="left"/>
        <w:rPr>
          <w:rFonts w:ascii="微软雅黑" w:hAnsi="Times New Roman" w:cs="微软雅黑"/>
          <w:kern w:val="0"/>
          <w:sz w:val="22"/>
        </w:rPr>
      </w:pPr>
      <w:r>
        <w:rPr>
          <w:rFonts w:hint="eastAsia" w:ascii="微软雅黑" w:hAnsi="Times New Roman" w:cs="微软雅黑"/>
          <w:kern w:val="0"/>
          <w:sz w:val="22"/>
        </w:rPr>
        <w:t>六、服务大纲和</w:t>
      </w:r>
      <w:r>
        <w:rPr>
          <w:rFonts w:hint="eastAsia" w:ascii="微软雅黑" w:hAnsi="Times New Roman" w:cs="微软雅黑"/>
          <w:spacing w:val="-2"/>
          <w:kern w:val="0"/>
          <w:sz w:val="22"/>
        </w:rPr>
        <w:t>技术方案</w:t>
      </w:r>
      <w:r>
        <w:rPr>
          <w:rFonts w:ascii="微软雅黑" w:hAnsi="Times New Roman" w:cs="微软雅黑"/>
          <w:kern w:val="0"/>
          <w:sz w:val="22"/>
        </w:rPr>
        <w:t xml:space="preserve"> </w:t>
      </w:r>
    </w:p>
    <w:p>
      <w:pPr>
        <w:autoSpaceDE w:val="0"/>
        <w:autoSpaceDN w:val="0"/>
        <w:adjustRightInd w:val="0"/>
        <w:spacing w:line="360" w:lineRule="auto"/>
        <w:ind w:right="5071"/>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技</w:t>
      </w:r>
      <w:r>
        <w:rPr>
          <w:rFonts w:hint="eastAsia" w:ascii="微软雅黑" w:hAnsi="Times New Roman" w:cs="微软雅黑"/>
          <w:kern w:val="0"/>
          <w:sz w:val="22"/>
        </w:rPr>
        <w:t>术</w:t>
      </w:r>
      <w:r>
        <w:rPr>
          <w:rFonts w:hint="eastAsia" w:ascii="微软雅黑" w:hAnsi="Times New Roman" w:cs="微软雅黑"/>
          <w:spacing w:val="-2"/>
          <w:kern w:val="0"/>
          <w:sz w:val="22"/>
        </w:rPr>
        <w:t>支</w:t>
      </w:r>
      <w:r>
        <w:rPr>
          <w:rFonts w:hint="eastAsia" w:ascii="微软雅黑" w:hAnsi="Times New Roman" w:cs="微软雅黑"/>
          <w:kern w:val="0"/>
          <w:sz w:val="22"/>
        </w:rPr>
        <w:t>持</w:t>
      </w:r>
      <w:r>
        <w:rPr>
          <w:rFonts w:hint="eastAsia" w:ascii="微软雅黑" w:hAnsi="Times New Roman" w:cs="微软雅黑"/>
          <w:spacing w:val="-2"/>
          <w:kern w:val="0"/>
          <w:sz w:val="22"/>
        </w:rPr>
        <w:t>资</w:t>
      </w:r>
      <w:r>
        <w:rPr>
          <w:rFonts w:hint="eastAsia" w:ascii="微软雅黑" w:hAnsi="Times New Roman" w:cs="微软雅黑"/>
          <w:kern w:val="0"/>
          <w:sz w:val="22"/>
        </w:rPr>
        <w:t>料</w:t>
      </w:r>
      <w:r>
        <w:rPr>
          <w:rFonts w:ascii="微软雅黑" w:hAnsi="Times New Roman" w:cs="微软雅黑"/>
          <w:kern w:val="0"/>
          <w:sz w:val="22"/>
        </w:rPr>
        <w:t xml:space="preserve"> </w:t>
      </w:r>
    </w:p>
    <w:p>
      <w:pPr>
        <w:tabs>
          <w:tab w:val="left" w:pos="3150"/>
        </w:tabs>
        <w:autoSpaceDE w:val="0"/>
        <w:autoSpaceDN w:val="0"/>
        <w:adjustRightInd w:val="0"/>
        <w:spacing w:line="360" w:lineRule="auto"/>
        <w:ind w:right="43"/>
        <w:jc w:val="left"/>
        <w:rPr>
          <w:rFonts w:ascii="微软雅黑" w:hAnsi="Times New Roman" w:cs="微软雅黑"/>
          <w:kern w:val="0"/>
          <w:sz w:val="22"/>
        </w:rPr>
      </w:pPr>
      <w:r>
        <w:rPr>
          <w:rFonts w:hint="eastAsia" w:ascii="微软雅黑" w:hAnsi="Times New Roman" w:cs="微软雅黑"/>
          <w:kern w:val="0"/>
          <w:sz w:val="22"/>
        </w:rPr>
        <w:t>八、</w:t>
      </w:r>
      <w:r>
        <w:rPr>
          <w:rFonts w:hint="eastAsia" w:ascii="微软雅黑" w:hAnsi="Times New Roman" w:cs="微软雅黑"/>
          <w:spacing w:val="-2"/>
          <w:kern w:val="0"/>
          <w:sz w:val="22"/>
        </w:rPr>
        <w:t>投标单位优势及其他</w:t>
      </w:r>
      <w:r>
        <w:rPr>
          <w:rFonts w:ascii="微软雅黑" w:hAnsi="Times New Roman" w:cs="微软雅黑"/>
          <w:kern w:val="0"/>
          <w:sz w:val="22"/>
        </w:rPr>
        <w:t xml:space="preserve"> </w:t>
      </w:r>
    </w:p>
    <w:p>
      <w:pPr>
        <w:autoSpaceDE w:val="0"/>
        <w:autoSpaceDN w:val="0"/>
        <w:adjustRightInd w:val="0"/>
        <w:spacing w:line="360" w:lineRule="auto"/>
        <w:ind w:right="5071"/>
        <w:jc w:val="left"/>
        <w:rPr>
          <w:rFonts w:ascii="微软雅黑" w:hAnsi="Times New Roman" w:cs="微软雅黑"/>
          <w:kern w:val="0"/>
          <w:sz w:val="22"/>
        </w:rPr>
      </w:pPr>
      <w:r>
        <w:rPr>
          <w:rFonts w:hint="eastAsia" w:ascii="微软雅黑" w:hAnsi="Times New Roman" w:cs="微软雅黑"/>
          <w:spacing w:val="-2"/>
          <w:kern w:val="0"/>
          <w:sz w:val="22"/>
        </w:rPr>
        <w:t>九、</w:t>
      </w:r>
      <w:r>
        <w:rPr>
          <w:rFonts w:hint="eastAsia" w:ascii="宋体" w:hAnsi="宋体" w:cs="宋体"/>
          <w:kern w:val="0"/>
          <w:sz w:val="22"/>
        </w:rPr>
        <w:t>投标人须知前附表规定的其他资料</w:t>
      </w:r>
    </w:p>
    <w:p>
      <w:pPr>
        <w:rPr>
          <w:rFonts w:ascii="微软雅黑" w:hAnsi="Times New Roman" w:cs="微软雅黑"/>
          <w:b/>
          <w:kern w:val="0"/>
          <w:sz w:val="36"/>
          <w:szCs w:val="36"/>
        </w:rPr>
      </w:pPr>
      <w:r>
        <w:rPr>
          <w:rFonts w:hint="eastAsia" w:ascii="微软雅黑" w:hAnsi="Times New Roman" w:cs="微软雅黑"/>
          <w:b/>
          <w:kern w:val="0"/>
          <w:sz w:val="36"/>
          <w:szCs w:val="36"/>
        </w:rPr>
        <w:br w:type="page"/>
      </w:r>
    </w:p>
    <w:p>
      <w:pPr>
        <w:autoSpaceDE w:val="0"/>
        <w:autoSpaceDN w:val="0"/>
        <w:adjustRightInd w:val="0"/>
        <w:spacing w:line="360" w:lineRule="auto"/>
        <w:jc w:val="center"/>
        <w:outlineLvl w:val="1"/>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1．我方已仔细研究了</w:t>
      </w:r>
      <w:r>
        <w:rPr>
          <w:rFonts w:ascii="宋体" w:hAnsi="宋体" w:cs="宋体"/>
          <w:kern w:val="0"/>
          <w:sz w:val="22"/>
          <w:u w:val="single"/>
        </w:rPr>
        <w:t xml:space="preserve"> </w:t>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项目名称</w:t>
      </w:r>
      <w:r>
        <w:rPr>
          <w:rFonts w:ascii="宋体" w:hAnsi="宋体" w:cs="宋体"/>
          <w:kern w:val="0"/>
          <w:sz w:val="22"/>
        </w:rPr>
        <w:t>)</w:t>
      </w:r>
      <w:r>
        <w:rPr>
          <w:rFonts w:hint="eastAsia" w:ascii="宋体" w:hAnsi="宋体" w:cs="宋体"/>
          <w:kern w:val="0"/>
          <w:sz w:val="22"/>
        </w:rPr>
        <w:t>招标文件的全部内容，愿意以人民币(大写</w:t>
      </w:r>
      <w:r>
        <w:rPr>
          <w:rFonts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ascii="宋体" w:hAnsi="宋体" w:cs="宋体"/>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ascii="宋体" w:hAnsi="宋体" w:cs="宋体"/>
          <w:kern w:val="0"/>
          <w:sz w:val="22"/>
        </w:rPr>
        <w:t>)</w:t>
      </w:r>
      <w:r>
        <w:rPr>
          <w:rFonts w:hint="eastAsia" w:ascii="宋体" w:hAnsi="宋体" w:cs="宋体"/>
          <w:kern w:val="0"/>
          <w:sz w:val="22"/>
        </w:rPr>
        <w:t>的投标总报价</w:t>
      </w:r>
      <w:r>
        <w:rPr>
          <w:rFonts w:ascii="宋体" w:hAnsi="宋体" w:cs="宋体"/>
          <w:kern w:val="0"/>
          <w:sz w:val="22"/>
        </w:rPr>
        <w:t>(</w:t>
      </w:r>
      <w:r>
        <w:rPr>
          <w:rFonts w:hint="eastAsia" w:ascii="宋体" w:hAnsi="宋体" w:cs="宋体"/>
          <w:kern w:val="0"/>
          <w:sz w:val="22"/>
        </w:rPr>
        <w:t>其中，增值税税率为</w:t>
      </w:r>
      <w:r>
        <w:rPr>
          <w:rFonts w:ascii="宋体" w:hAnsi="宋体" w:cs="宋体"/>
          <w:kern w:val="0"/>
          <w:sz w:val="22"/>
          <w:u w:val="single"/>
        </w:rPr>
        <w:t xml:space="preserve"> </w:t>
      </w:r>
      <w:r>
        <w:rPr>
          <w:rFonts w:hint="eastAsia" w:ascii="宋体" w:hAnsi="宋体" w:cs="宋体"/>
          <w:kern w:val="0"/>
          <w:sz w:val="22"/>
          <w:u w:val="single"/>
        </w:rPr>
        <w:t xml:space="preserve">    </w:t>
      </w:r>
      <w:r>
        <w:rPr>
          <w:rFonts w:ascii="宋体" w:hAnsi="宋体" w:cs="宋体"/>
          <w:kern w:val="0"/>
          <w:sz w:val="22"/>
        </w:rPr>
        <w:t>)</w:t>
      </w:r>
      <w:r>
        <w:rPr>
          <w:rFonts w:hint="eastAsia" w:ascii="宋体" w:hAnsi="宋体" w:cs="宋体"/>
          <w:kern w:val="0"/>
          <w:sz w:val="22"/>
        </w:rPr>
        <w:t>按上述</w:t>
      </w:r>
      <w:r>
        <w:rPr>
          <w:rFonts w:ascii="宋体" w:hAnsi="宋体" w:cs="宋体"/>
          <w:kern w:val="0"/>
          <w:sz w:val="22"/>
        </w:rPr>
        <w:t>招标文件</w:t>
      </w:r>
      <w:r>
        <w:rPr>
          <w:rFonts w:hint="eastAsia" w:ascii="宋体" w:hAnsi="宋体" w:cs="宋体"/>
          <w:kern w:val="0"/>
          <w:sz w:val="22"/>
        </w:rPr>
        <w:t>要求承揽</w:t>
      </w:r>
      <w:r>
        <w:rPr>
          <w:rFonts w:ascii="宋体" w:hAnsi="宋体" w:cs="宋体"/>
          <w:kern w:val="0"/>
          <w:sz w:val="22"/>
        </w:rPr>
        <w:t>上述项目所有工作</w:t>
      </w:r>
      <w:r>
        <w:rPr>
          <w:rFonts w:hint="eastAsia" w:ascii="宋体" w:hAnsi="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cs="宋体"/>
          <w:kern w:val="0"/>
          <w:sz w:val="22"/>
        </w:rPr>
      </w:pP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outlineLvl w:val="1"/>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52"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outlineLvl w:val="1"/>
        <w:rPr>
          <w:rFonts w:ascii="微软雅黑" w:hAnsi="Times New Roman" w:cs="微软雅黑"/>
          <w:b/>
          <w:kern w:val="0"/>
          <w:sz w:val="36"/>
          <w:szCs w:val="36"/>
        </w:rPr>
      </w:pPr>
      <w:r>
        <w:rPr>
          <w:rFonts w:hint="eastAsia" w:ascii="微软雅黑" w:hAnsi="Times New Roman" w:cs="微软雅黑"/>
          <w:b/>
          <w:kern w:val="0"/>
          <w:sz w:val="36"/>
          <w:szCs w:val="36"/>
        </w:rPr>
        <w:t>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outlineLvl w:val="1"/>
        <w:rPr>
          <w:rFonts w:ascii="微软雅黑" w:hAnsi="Times New Roman" w:cs="微软雅黑"/>
          <w:b/>
          <w:kern w:val="0"/>
          <w:sz w:val="36"/>
          <w:szCs w:val="36"/>
        </w:rPr>
      </w:pPr>
      <w:r>
        <w:rPr>
          <w:rFonts w:hint="eastAsia" w:ascii="微软雅黑" w:hAnsi="Times New Roman" w:cs="微软雅黑"/>
          <w:b/>
          <w:kern w:val="0"/>
          <w:sz w:val="36"/>
          <w:szCs w:val="36"/>
        </w:rPr>
        <w:t xml:space="preserve">三、投标保证金 </w:t>
      </w:r>
    </w:p>
    <w:p>
      <w:pPr>
        <w:rPr>
          <w:rFonts w:ascii="微软雅黑" w:hAnsi="Times New Roman" w:cs="微软雅黑"/>
          <w:b/>
          <w:kern w:val="0"/>
          <w:sz w:val="36"/>
          <w:szCs w:val="36"/>
        </w:rPr>
      </w:pPr>
      <w:r>
        <w:rPr>
          <w:rFonts w:hint="eastAsia" w:ascii="微软雅黑" w:hAnsi="Times New Roman" w:cs="微软雅黑"/>
          <w:b/>
          <w:kern w:val="0"/>
          <w:sz w:val="36"/>
          <w:szCs w:val="36"/>
        </w:rPr>
        <w:br w:type="page"/>
      </w:r>
    </w:p>
    <w:p>
      <w:pPr>
        <w:autoSpaceDE w:val="0"/>
        <w:autoSpaceDN w:val="0"/>
        <w:adjustRightInd w:val="0"/>
        <w:spacing w:line="360" w:lineRule="auto"/>
        <w:jc w:val="center"/>
        <w:outlineLvl w:val="1"/>
        <w:rPr>
          <w:rFonts w:ascii="微软雅黑" w:hAnsi="Times New Roman" w:cs="微软雅黑"/>
          <w:b/>
          <w:kern w:val="0"/>
          <w:sz w:val="36"/>
          <w:szCs w:val="36"/>
        </w:rPr>
      </w:pPr>
      <w:r>
        <w:rPr>
          <w:rFonts w:hint="eastAsia" w:ascii="微软雅黑" w:hAnsi="Times New Roman" w:cs="微软雅黑"/>
          <w:b/>
          <w:kern w:val="0"/>
          <w:sz w:val="36"/>
          <w:szCs w:val="36"/>
        </w:rPr>
        <w:t>四、投标报价表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6"/>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7"/>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7"/>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7"/>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7"/>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7"/>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7"/>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7"/>
        <w:spacing w:line="360" w:lineRule="auto"/>
        <w:jc w:val="center"/>
        <w:rPr>
          <w:rFonts w:ascii="宋体" w:hAnsi="宋体" w:cs="宋体"/>
          <w:b/>
          <w:sz w:val="32"/>
          <w:szCs w:val="32"/>
        </w:rPr>
      </w:pPr>
      <w:r>
        <w:rPr>
          <w:rFonts w:hint="eastAsia"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7"/>
        <w:spacing w:line="360" w:lineRule="auto"/>
        <w:rPr>
          <w:rFonts w:ascii="宋体" w:hAnsi="宋体" w:cs="宋体"/>
        </w:rPr>
      </w:pPr>
    </w:p>
    <w:p>
      <w:pPr>
        <w:rPr>
          <w:rFonts w:cs="Calibri"/>
          <w:sz w:val="24"/>
        </w:rPr>
      </w:pPr>
      <w:bookmarkStart w:id="33" w:name="_Toc133214103"/>
      <w:bookmarkStart w:id="34" w:name="_Toc133470544"/>
      <w:bookmarkStart w:id="35" w:name="_Toc137373399"/>
      <w:bookmarkStart w:id="36" w:name="_Toc133214310"/>
    </w:p>
    <w:p>
      <w:pPr>
        <w:jc w:val="center"/>
        <w:rPr>
          <w:rFonts w:cs="Calibri"/>
          <w:bCs/>
          <w:sz w:val="24"/>
        </w:rPr>
      </w:pPr>
      <w:r>
        <w:rPr>
          <w:rFonts w:hint="eastAsia" w:cs="Calibri"/>
          <w:bCs/>
          <w:sz w:val="24"/>
        </w:rPr>
        <w:t xml:space="preserve">                                                                                                                                   单位：万元</w:t>
      </w:r>
    </w:p>
    <w:tbl>
      <w:tblPr>
        <w:tblStyle w:val="89"/>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3968"/>
        <w:gridCol w:w="2237"/>
        <w:gridCol w:w="2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97" w:type="dxa"/>
            <w:vAlign w:val="center"/>
          </w:tcPr>
          <w:p>
            <w:pPr>
              <w:jc w:val="center"/>
              <w:rPr>
                <w:rFonts w:cs="Calibri"/>
                <w:szCs w:val="21"/>
              </w:rPr>
            </w:pPr>
            <w:r>
              <w:rPr>
                <w:rFonts w:cs="Calibri"/>
                <w:szCs w:val="21"/>
              </w:rPr>
              <w:t>序号</w:t>
            </w:r>
          </w:p>
        </w:tc>
        <w:tc>
          <w:tcPr>
            <w:tcW w:w="3968" w:type="dxa"/>
            <w:vAlign w:val="center"/>
          </w:tcPr>
          <w:p>
            <w:pPr>
              <w:jc w:val="center"/>
              <w:rPr>
                <w:rFonts w:cs="Calibri"/>
                <w:szCs w:val="21"/>
              </w:rPr>
            </w:pPr>
            <w:r>
              <w:rPr>
                <w:rFonts w:cs="Calibri"/>
                <w:szCs w:val="21"/>
              </w:rPr>
              <w:t>费用名称</w:t>
            </w:r>
          </w:p>
        </w:tc>
        <w:tc>
          <w:tcPr>
            <w:tcW w:w="2237" w:type="dxa"/>
            <w:vAlign w:val="center"/>
          </w:tcPr>
          <w:p>
            <w:pPr>
              <w:jc w:val="center"/>
              <w:rPr>
                <w:rFonts w:cs="Calibri"/>
                <w:szCs w:val="21"/>
              </w:rPr>
            </w:pPr>
            <w:r>
              <w:rPr>
                <w:rFonts w:cs="Calibri"/>
                <w:szCs w:val="21"/>
              </w:rPr>
              <w:t>投标</w:t>
            </w:r>
            <w:r>
              <w:rPr>
                <w:rFonts w:hint="eastAsia" w:cs="Calibri"/>
                <w:szCs w:val="21"/>
              </w:rPr>
              <w:t>报价（不含税）</w:t>
            </w:r>
          </w:p>
        </w:tc>
        <w:tc>
          <w:tcPr>
            <w:tcW w:w="2535" w:type="dxa"/>
            <w:tcBorders>
              <w:left w:val="single" w:color="auto" w:sz="4" w:space="0"/>
            </w:tcBorders>
            <w:vAlign w:val="center"/>
          </w:tcPr>
          <w:p>
            <w:pPr>
              <w:jc w:val="center"/>
              <w:rPr>
                <w:rFonts w:cs="Calibri"/>
                <w:szCs w:val="21"/>
              </w:rPr>
            </w:pPr>
            <w:r>
              <w:rPr>
                <w:rFonts w:hint="eastAsia" w:cs="Calibri"/>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97" w:type="dxa"/>
            <w:vAlign w:val="center"/>
          </w:tcPr>
          <w:p>
            <w:pPr>
              <w:jc w:val="center"/>
              <w:rPr>
                <w:rFonts w:cs="Calibri"/>
                <w:b/>
                <w:bCs/>
                <w:szCs w:val="21"/>
              </w:rPr>
            </w:pPr>
            <w:r>
              <w:rPr>
                <w:rFonts w:cs="Calibri"/>
                <w:bCs/>
                <w:szCs w:val="21"/>
              </w:rPr>
              <w:t>1</w:t>
            </w:r>
          </w:p>
        </w:tc>
        <w:tc>
          <w:tcPr>
            <w:tcW w:w="3968" w:type="dxa"/>
            <w:vAlign w:val="center"/>
          </w:tcPr>
          <w:p>
            <w:pPr>
              <w:tabs>
                <w:tab w:val="left" w:pos="5580"/>
              </w:tabs>
              <w:adjustRightInd w:val="0"/>
              <w:jc w:val="center"/>
              <w:rPr>
                <w:rFonts w:cs="Calibri"/>
                <w:szCs w:val="21"/>
              </w:rPr>
            </w:pPr>
            <w:r>
              <w:rPr>
                <w:rFonts w:hint="eastAsia" w:ascii="宋体" w:hAnsi="宋体" w:cs="宋体"/>
                <w:sz w:val="24"/>
              </w:rPr>
              <w:t>重点柜台（安检、失物招领、问询）植物租摆费用</w:t>
            </w:r>
          </w:p>
        </w:tc>
        <w:tc>
          <w:tcPr>
            <w:tcW w:w="2237" w:type="dxa"/>
            <w:vAlign w:val="center"/>
          </w:tcPr>
          <w:p>
            <w:pPr>
              <w:tabs>
                <w:tab w:val="left" w:pos="5580"/>
              </w:tabs>
              <w:adjustRightInd w:val="0"/>
              <w:jc w:val="center"/>
              <w:rPr>
                <w:rFonts w:ascii="宋体" w:hAnsi="宋体" w:cs="宋体"/>
                <w:sz w:val="24"/>
              </w:rPr>
            </w:pPr>
          </w:p>
        </w:tc>
        <w:tc>
          <w:tcPr>
            <w:tcW w:w="2535" w:type="dxa"/>
            <w:tcBorders>
              <w:left w:val="single" w:color="auto" w:sz="4" w:space="0"/>
            </w:tcBorders>
            <w:vAlign w:val="center"/>
          </w:tcPr>
          <w:p>
            <w:pPr>
              <w:jc w:val="center"/>
              <w:rPr>
                <w:rFonts w:cs="Calibri"/>
                <w:bCs/>
                <w:szCs w:val="21"/>
              </w:rPr>
            </w:pPr>
            <w:r>
              <w:rPr>
                <w:rFonts w:hint="eastAsia" w:ascii="宋体" w:hAnsi="宋体" w:cs="宋体"/>
                <w:sz w:val="24"/>
                <w:szCs w:val="24"/>
              </w:rPr>
              <w:t>应按下表《绿化租摆专项单价报价表》列出清单表详细说明每种植物的租赁费用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97" w:type="dxa"/>
            <w:vAlign w:val="center"/>
          </w:tcPr>
          <w:p>
            <w:pPr>
              <w:jc w:val="center"/>
              <w:rPr>
                <w:rFonts w:cs="Calibri"/>
                <w:bCs/>
                <w:szCs w:val="21"/>
              </w:rPr>
            </w:pPr>
            <w:r>
              <w:rPr>
                <w:rFonts w:hint="eastAsia" w:cs="Calibri"/>
                <w:bCs/>
                <w:szCs w:val="21"/>
              </w:rPr>
              <w:t>2</w:t>
            </w:r>
          </w:p>
        </w:tc>
        <w:tc>
          <w:tcPr>
            <w:tcW w:w="3968" w:type="dxa"/>
            <w:vAlign w:val="center"/>
          </w:tcPr>
          <w:p>
            <w:pPr>
              <w:tabs>
                <w:tab w:val="left" w:pos="5580"/>
              </w:tabs>
              <w:adjustRightInd w:val="0"/>
              <w:jc w:val="center"/>
              <w:rPr>
                <w:rFonts w:cs="Calibri"/>
                <w:color w:val="000000"/>
                <w:szCs w:val="21"/>
              </w:rPr>
            </w:pPr>
            <w:r>
              <w:rPr>
                <w:rFonts w:hint="eastAsia" w:ascii="宋体" w:hAnsi="宋体" w:cs="宋体"/>
                <w:sz w:val="24"/>
              </w:rPr>
              <w:t>头等舱、接待室、党员初心站植物租摆费用</w:t>
            </w:r>
          </w:p>
        </w:tc>
        <w:tc>
          <w:tcPr>
            <w:tcW w:w="2237" w:type="dxa"/>
            <w:vAlign w:val="center"/>
          </w:tcPr>
          <w:p>
            <w:pPr>
              <w:tabs>
                <w:tab w:val="left" w:pos="5580"/>
              </w:tabs>
              <w:adjustRightInd w:val="0"/>
              <w:jc w:val="center"/>
              <w:rPr>
                <w:rFonts w:ascii="宋体" w:hAnsi="宋体" w:cs="宋体"/>
                <w:sz w:val="24"/>
              </w:rPr>
            </w:pPr>
          </w:p>
        </w:tc>
        <w:tc>
          <w:tcPr>
            <w:tcW w:w="2535"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97" w:type="dxa"/>
            <w:vAlign w:val="center"/>
          </w:tcPr>
          <w:p>
            <w:pPr>
              <w:jc w:val="center"/>
              <w:rPr>
                <w:rFonts w:cs="Calibri"/>
                <w:bCs/>
                <w:szCs w:val="21"/>
              </w:rPr>
            </w:pPr>
            <w:r>
              <w:rPr>
                <w:rFonts w:hint="eastAsia" w:cs="Calibri"/>
                <w:bCs/>
                <w:szCs w:val="21"/>
              </w:rPr>
              <w:t>3</w:t>
            </w:r>
          </w:p>
        </w:tc>
        <w:tc>
          <w:tcPr>
            <w:tcW w:w="3968" w:type="dxa"/>
            <w:vAlign w:val="center"/>
          </w:tcPr>
          <w:p>
            <w:pPr>
              <w:tabs>
                <w:tab w:val="left" w:pos="5580"/>
              </w:tabs>
              <w:adjustRightInd w:val="0"/>
              <w:jc w:val="center"/>
              <w:rPr>
                <w:rFonts w:cs="Calibri"/>
                <w:color w:val="000000"/>
                <w:szCs w:val="21"/>
              </w:rPr>
            </w:pPr>
            <w:r>
              <w:rPr>
                <w:rFonts w:hint="eastAsia" w:ascii="宋体" w:hAnsi="宋体" w:cs="宋体"/>
                <w:sz w:val="24"/>
              </w:rPr>
              <w:t>楼内其它区域植物租摆费用</w:t>
            </w:r>
          </w:p>
        </w:tc>
        <w:tc>
          <w:tcPr>
            <w:tcW w:w="2237" w:type="dxa"/>
            <w:vAlign w:val="center"/>
          </w:tcPr>
          <w:p>
            <w:pPr>
              <w:tabs>
                <w:tab w:val="left" w:pos="5580"/>
              </w:tabs>
              <w:adjustRightInd w:val="0"/>
              <w:jc w:val="center"/>
              <w:rPr>
                <w:rFonts w:ascii="宋体" w:hAnsi="宋体" w:cs="宋体"/>
                <w:sz w:val="24"/>
              </w:rPr>
            </w:pPr>
          </w:p>
        </w:tc>
        <w:tc>
          <w:tcPr>
            <w:tcW w:w="2535"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97" w:type="dxa"/>
            <w:vAlign w:val="center"/>
          </w:tcPr>
          <w:p>
            <w:pPr>
              <w:jc w:val="center"/>
              <w:rPr>
                <w:rFonts w:cs="Calibri"/>
                <w:bCs/>
                <w:szCs w:val="21"/>
              </w:rPr>
            </w:pPr>
            <w:r>
              <w:rPr>
                <w:rFonts w:hint="eastAsia" w:cs="Calibri"/>
                <w:bCs/>
                <w:szCs w:val="21"/>
              </w:rPr>
              <w:t>4</w:t>
            </w:r>
          </w:p>
        </w:tc>
        <w:tc>
          <w:tcPr>
            <w:tcW w:w="3968" w:type="dxa"/>
            <w:vAlign w:val="center"/>
          </w:tcPr>
          <w:p>
            <w:pPr>
              <w:tabs>
                <w:tab w:val="left" w:pos="5580"/>
              </w:tabs>
              <w:adjustRightInd w:val="0"/>
              <w:jc w:val="center"/>
              <w:rPr>
                <w:rFonts w:cs="Calibri"/>
                <w:color w:val="000000"/>
                <w:szCs w:val="21"/>
              </w:rPr>
            </w:pPr>
            <w:r>
              <w:rPr>
                <w:rFonts w:hint="eastAsia" w:ascii="宋体" w:hAnsi="宋体" w:cs="宋体"/>
                <w:sz w:val="24"/>
              </w:rPr>
              <w:t>用于营造春节氛围的绿化租摆费用</w:t>
            </w:r>
          </w:p>
        </w:tc>
        <w:tc>
          <w:tcPr>
            <w:tcW w:w="2237" w:type="dxa"/>
            <w:vAlign w:val="center"/>
          </w:tcPr>
          <w:p>
            <w:pPr>
              <w:tabs>
                <w:tab w:val="left" w:pos="5580"/>
              </w:tabs>
              <w:adjustRightInd w:val="0"/>
              <w:jc w:val="center"/>
              <w:rPr>
                <w:rFonts w:ascii="宋体" w:hAnsi="宋体" w:cs="宋体"/>
                <w:sz w:val="24"/>
              </w:rPr>
            </w:pPr>
          </w:p>
        </w:tc>
        <w:tc>
          <w:tcPr>
            <w:tcW w:w="2535"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97" w:type="dxa"/>
            <w:vAlign w:val="center"/>
          </w:tcPr>
          <w:p>
            <w:pPr>
              <w:jc w:val="center"/>
              <w:rPr>
                <w:rFonts w:cs="Calibri"/>
                <w:bCs/>
                <w:szCs w:val="21"/>
              </w:rPr>
            </w:pPr>
            <w:r>
              <w:rPr>
                <w:rFonts w:hint="eastAsia" w:cs="Calibri"/>
                <w:bCs/>
                <w:szCs w:val="21"/>
              </w:rPr>
              <w:t>5</w:t>
            </w:r>
          </w:p>
        </w:tc>
        <w:tc>
          <w:tcPr>
            <w:tcW w:w="3968" w:type="dxa"/>
            <w:vAlign w:val="center"/>
          </w:tcPr>
          <w:p>
            <w:pPr>
              <w:tabs>
                <w:tab w:val="left" w:pos="5580"/>
              </w:tabs>
              <w:adjustRightInd w:val="0"/>
              <w:jc w:val="center"/>
              <w:rPr>
                <w:rFonts w:cs="Calibri"/>
                <w:color w:val="000000"/>
                <w:szCs w:val="21"/>
              </w:rPr>
            </w:pPr>
            <w:r>
              <w:rPr>
                <w:rFonts w:hint="eastAsia" w:ascii="宋体" w:hAnsi="宋体" w:cs="宋体"/>
                <w:sz w:val="24"/>
              </w:rPr>
              <w:t>固定及节假日花堆费用</w:t>
            </w:r>
          </w:p>
        </w:tc>
        <w:tc>
          <w:tcPr>
            <w:tcW w:w="2237" w:type="dxa"/>
            <w:vAlign w:val="center"/>
          </w:tcPr>
          <w:p>
            <w:pPr>
              <w:tabs>
                <w:tab w:val="left" w:pos="5580"/>
              </w:tabs>
              <w:adjustRightInd w:val="0"/>
              <w:jc w:val="center"/>
              <w:rPr>
                <w:rFonts w:ascii="宋体" w:hAnsi="宋体" w:cs="宋体"/>
                <w:sz w:val="24"/>
              </w:rPr>
            </w:pPr>
          </w:p>
        </w:tc>
        <w:tc>
          <w:tcPr>
            <w:tcW w:w="2535" w:type="dxa"/>
            <w:tcBorders>
              <w:left w:val="single" w:color="auto" w:sz="4" w:space="0"/>
            </w:tcBorders>
            <w:vAlign w:val="center"/>
          </w:tcPr>
          <w:p>
            <w:pPr>
              <w:jc w:val="center"/>
              <w:rPr>
                <w:rFonts w:cs="Calibri"/>
                <w:bCs/>
                <w:szCs w:val="21"/>
              </w:rPr>
            </w:pPr>
            <w:r>
              <w:rPr>
                <w:rFonts w:hint="eastAsia" w:ascii="宋体" w:hAnsi="宋体" w:cs="宋体"/>
                <w:sz w:val="24"/>
                <w:szCs w:val="24"/>
              </w:rPr>
              <w:t>应自行列清单表详细说明每个点位每种植物的租赁费用以及硬质景观租赁费用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97" w:type="dxa"/>
            <w:vAlign w:val="center"/>
          </w:tcPr>
          <w:p>
            <w:pPr>
              <w:jc w:val="center"/>
              <w:rPr>
                <w:rFonts w:cs="Calibri"/>
                <w:bCs/>
                <w:szCs w:val="21"/>
              </w:rPr>
            </w:pPr>
            <w:r>
              <w:rPr>
                <w:rFonts w:hint="eastAsia" w:cs="Calibri"/>
                <w:bCs/>
                <w:szCs w:val="21"/>
              </w:rPr>
              <w:t>6</w:t>
            </w:r>
          </w:p>
        </w:tc>
        <w:tc>
          <w:tcPr>
            <w:tcW w:w="3968" w:type="dxa"/>
            <w:vAlign w:val="center"/>
          </w:tcPr>
          <w:p>
            <w:pPr>
              <w:tabs>
                <w:tab w:val="left" w:pos="5580"/>
              </w:tabs>
              <w:adjustRightInd w:val="0"/>
              <w:jc w:val="center"/>
              <w:rPr>
                <w:rFonts w:cs="Calibri"/>
                <w:color w:val="000000"/>
                <w:szCs w:val="21"/>
              </w:rPr>
            </w:pPr>
            <w:r>
              <w:rPr>
                <w:rFonts w:hint="eastAsia" w:ascii="宋体" w:hAnsi="宋体" w:cs="宋体"/>
                <w:sz w:val="24"/>
              </w:rPr>
              <w:t>T1内庭院养护费用</w:t>
            </w:r>
          </w:p>
        </w:tc>
        <w:tc>
          <w:tcPr>
            <w:tcW w:w="2237" w:type="dxa"/>
            <w:vAlign w:val="center"/>
          </w:tcPr>
          <w:p>
            <w:pPr>
              <w:tabs>
                <w:tab w:val="left" w:pos="5580"/>
              </w:tabs>
              <w:adjustRightInd w:val="0"/>
              <w:jc w:val="center"/>
              <w:rPr>
                <w:rFonts w:ascii="宋体" w:hAnsi="宋体" w:cs="宋体"/>
                <w:sz w:val="24"/>
              </w:rPr>
            </w:pPr>
          </w:p>
        </w:tc>
        <w:tc>
          <w:tcPr>
            <w:tcW w:w="2535" w:type="dxa"/>
            <w:tcBorders>
              <w:left w:val="single" w:color="auto" w:sz="4" w:space="0"/>
            </w:tcBorders>
            <w:vAlign w:val="center"/>
          </w:tcPr>
          <w:p>
            <w:pPr>
              <w:jc w:val="center"/>
              <w:rPr>
                <w:rFonts w:cs="Calibri"/>
                <w:bCs/>
                <w:szCs w:val="21"/>
              </w:rPr>
            </w:pPr>
            <w:r>
              <w:rPr>
                <w:rFonts w:hint="eastAsia" w:ascii="宋体" w:hAnsi="宋体" w:cs="宋体"/>
                <w:sz w:val="24"/>
                <w:szCs w:val="24"/>
              </w:rPr>
              <w:t>应自行列清单表详细说明费用组成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97" w:type="dxa"/>
            <w:vAlign w:val="center"/>
          </w:tcPr>
          <w:p>
            <w:pPr>
              <w:jc w:val="center"/>
              <w:rPr>
                <w:rFonts w:cs="Calibri"/>
                <w:bCs/>
                <w:szCs w:val="21"/>
              </w:rPr>
            </w:pPr>
            <w:r>
              <w:rPr>
                <w:rFonts w:hint="eastAsia" w:cs="Calibri"/>
                <w:bCs/>
                <w:szCs w:val="21"/>
              </w:rPr>
              <w:t>7</w:t>
            </w:r>
          </w:p>
        </w:tc>
        <w:tc>
          <w:tcPr>
            <w:tcW w:w="3968" w:type="dxa"/>
            <w:vAlign w:val="center"/>
          </w:tcPr>
          <w:p>
            <w:pPr>
              <w:tabs>
                <w:tab w:val="left" w:pos="5580"/>
              </w:tabs>
              <w:adjustRightInd w:val="0"/>
              <w:jc w:val="center"/>
              <w:rPr>
                <w:rFonts w:cs="Calibri"/>
                <w:color w:val="000000"/>
                <w:szCs w:val="21"/>
              </w:rPr>
            </w:pPr>
            <w:r>
              <w:rPr>
                <w:rFonts w:hint="eastAsia" w:ascii="宋体" w:hAnsi="宋体" w:cs="宋体"/>
                <w:sz w:val="24"/>
              </w:rPr>
              <w:t>办公用房租赁费用</w:t>
            </w:r>
          </w:p>
        </w:tc>
        <w:tc>
          <w:tcPr>
            <w:tcW w:w="2237" w:type="dxa"/>
            <w:vAlign w:val="center"/>
          </w:tcPr>
          <w:p>
            <w:pPr>
              <w:tabs>
                <w:tab w:val="left" w:pos="5580"/>
              </w:tabs>
              <w:adjustRightInd w:val="0"/>
              <w:jc w:val="center"/>
              <w:rPr>
                <w:rFonts w:ascii="宋体" w:hAnsi="宋体" w:cs="宋体"/>
                <w:sz w:val="24"/>
              </w:rPr>
            </w:pPr>
          </w:p>
        </w:tc>
        <w:tc>
          <w:tcPr>
            <w:tcW w:w="2535"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97" w:type="dxa"/>
            <w:vAlign w:val="center"/>
          </w:tcPr>
          <w:p>
            <w:pPr>
              <w:jc w:val="center"/>
              <w:rPr>
                <w:rFonts w:cs="Calibri"/>
                <w:bCs/>
                <w:szCs w:val="21"/>
              </w:rPr>
            </w:pPr>
            <w:r>
              <w:rPr>
                <w:rFonts w:hint="eastAsia" w:cs="Calibri"/>
                <w:bCs/>
                <w:szCs w:val="21"/>
              </w:rPr>
              <w:t>8</w:t>
            </w:r>
          </w:p>
        </w:tc>
        <w:tc>
          <w:tcPr>
            <w:tcW w:w="3968" w:type="dxa"/>
            <w:vAlign w:val="center"/>
          </w:tcPr>
          <w:p>
            <w:pPr>
              <w:tabs>
                <w:tab w:val="left" w:pos="5580"/>
              </w:tabs>
              <w:adjustRightInd w:val="0"/>
              <w:jc w:val="center"/>
              <w:rPr>
                <w:rFonts w:ascii="宋体" w:hAnsi="宋体" w:cs="宋体"/>
                <w:sz w:val="24"/>
              </w:rPr>
            </w:pPr>
            <w:r>
              <w:rPr>
                <w:rFonts w:hint="eastAsia" w:ascii="宋体" w:hAnsi="宋体" w:cs="宋体"/>
                <w:sz w:val="24"/>
              </w:rPr>
              <w:t>合  计（不含税价）</w:t>
            </w:r>
          </w:p>
        </w:tc>
        <w:tc>
          <w:tcPr>
            <w:tcW w:w="2237" w:type="dxa"/>
            <w:vAlign w:val="center"/>
          </w:tcPr>
          <w:p>
            <w:pPr>
              <w:jc w:val="center"/>
              <w:rPr>
                <w:rFonts w:cs="Calibri"/>
                <w:szCs w:val="21"/>
              </w:rPr>
            </w:pPr>
          </w:p>
        </w:tc>
        <w:tc>
          <w:tcPr>
            <w:tcW w:w="2535"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97" w:type="dxa"/>
            <w:vAlign w:val="center"/>
          </w:tcPr>
          <w:p>
            <w:pPr>
              <w:jc w:val="center"/>
              <w:rPr>
                <w:rFonts w:cs="Calibri"/>
                <w:bCs/>
                <w:szCs w:val="21"/>
              </w:rPr>
            </w:pPr>
            <w:r>
              <w:rPr>
                <w:rFonts w:hint="eastAsia" w:cs="Calibri"/>
                <w:bCs/>
                <w:szCs w:val="21"/>
              </w:rPr>
              <w:t>9</w:t>
            </w:r>
          </w:p>
        </w:tc>
        <w:tc>
          <w:tcPr>
            <w:tcW w:w="3968" w:type="dxa"/>
            <w:vAlign w:val="center"/>
          </w:tcPr>
          <w:p>
            <w:pPr>
              <w:tabs>
                <w:tab w:val="left" w:pos="5580"/>
              </w:tabs>
              <w:adjustRightInd w:val="0"/>
              <w:jc w:val="center"/>
              <w:rPr>
                <w:rFonts w:ascii="宋体" w:hAnsi="宋体" w:cs="宋体"/>
                <w:sz w:val="24"/>
              </w:rPr>
            </w:pPr>
            <w:r>
              <w:rPr>
                <w:rFonts w:hint="eastAsia" w:ascii="宋体" w:hAnsi="宋体" w:cs="宋体"/>
                <w:sz w:val="24"/>
              </w:rPr>
              <w:t>税率</w:t>
            </w:r>
          </w:p>
        </w:tc>
        <w:tc>
          <w:tcPr>
            <w:tcW w:w="2237" w:type="dxa"/>
            <w:vAlign w:val="center"/>
          </w:tcPr>
          <w:p>
            <w:pPr>
              <w:jc w:val="center"/>
              <w:rPr>
                <w:rFonts w:cs="Calibri"/>
                <w:szCs w:val="21"/>
              </w:rPr>
            </w:pPr>
          </w:p>
        </w:tc>
        <w:tc>
          <w:tcPr>
            <w:tcW w:w="2535"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897" w:type="dxa"/>
            <w:vAlign w:val="center"/>
          </w:tcPr>
          <w:p>
            <w:pPr>
              <w:jc w:val="center"/>
              <w:rPr>
                <w:rFonts w:cs="Calibri"/>
                <w:bCs/>
                <w:szCs w:val="21"/>
              </w:rPr>
            </w:pPr>
            <w:r>
              <w:rPr>
                <w:rFonts w:hint="eastAsia" w:cs="Calibri"/>
                <w:bCs/>
                <w:szCs w:val="21"/>
              </w:rPr>
              <w:t>10</w:t>
            </w:r>
          </w:p>
        </w:tc>
        <w:tc>
          <w:tcPr>
            <w:tcW w:w="3968" w:type="dxa"/>
            <w:vAlign w:val="center"/>
          </w:tcPr>
          <w:p>
            <w:pPr>
              <w:tabs>
                <w:tab w:val="left" w:pos="5580"/>
              </w:tabs>
              <w:adjustRightInd w:val="0"/>
              <w:jc w:val="center"/>
              <w:rPr>
                <w:rFonts w:ascii="宋体" w:hAnsi="宋体" w:cs="宋体"/>
                <w:sz w:val="24"/>
              </w:rPr>
            </w:pPr>
            <w:r>
              <w:rPr>
                <w:rFonts w:hint="eastAsia" w:ascii="宋体" w:hAnsi="宋体" w:cs="宋体"/>
                <w:sz w:val="24"/>
              </w:rPr>
              <w:t>合  计（含税价）</w:t>
            </w:r>
          </w:p>
        </w:tc>
        <w:tc>
          <w:tcPr>
            <w:tcW w:w="2237" w:type="dxa"/>
            <w:vAlign w:val="center"/>
          </w:tcPr>
          <w:p>
            <w:pPr>
              <w:jc w:val="center"/>
              <w:rPr>
                <w:rFonts w:cs="Calibri"/>
                <w:szCs w:val="21"/>
              </w:rPr>
            </w:pPr>
          </w:p>
        </w:tc>
        <w:tc>
          <w:tcPr>
            <w:tcW w:w="2535"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pStyle w:val="41"/>
        <w:spacing w:line="360" w:lineRule="auto"/>
        <w:rPr>
          <w:rFonts w:hAnsi="宋体" w:cs="宋体"/>
          <w:sz w:val="24"/>
          <w:szCs w:val="24"/>
        </w:rPr>
      </w:pPr>
      <w:r>
        <w:rPr>
          <w:rFonts w:hint="eastAsia" w:hAnsi="宋体" w:cs="宋体"/>
          <w:sz w:val="24"/>
          <w:szCs w:val="24"/>
        </w:rPr>
        <w:t>注:1.如果不按备注栏中要求提供详细清单说明来报价的组成，将视为没有实质性响应招标文件。</w:t>
      </w:r>
    </w:p>
    <w:p>
      <w:pPr>
        <w:pStyle w:val="41"/>
        <w:numPr>
          <w:ilvl w:val="255"/>
          <w:numId w:val="0"/>
        </w:numPr>
        <w:spacing w:line="360" w:lineRule="auto"/>
        <w:ind w:left="360" w:right="-334" w:rightChars="-159"/>
        <w:rPr>
          <w:rFonts w:hAnsi="宋体" w:cs="宋体"/>
          <w:sz w:val="24"/>
          <w:szCs w:val="24"/>
        </w:rPr>
      </w:pPr>
      <w:r>
        <w:rPr>
          <w:rFonts w:hint="eastAsia" w:hAnsi="宋体" w:cs="宋体"/>
          <w:sz w:val="24"/>
          <w:szCs w:val="24"/>
        </w:rPr>
        <w:t>2.所有报价均包含绿植、花卉、花架、设备（含抗台支撑）、设施维护、人工、补植费、水电费、巡视、施肥、农药及其他相关费用。</w:t>
      </w: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9" w:firstLineChars="1890"/>
        <w:rPr>
          <w:rFonts w:cs="Calibri"/>
          <w:color w:val="000000"/>
          <w:szCs w:val="21"/>
        </w:rPr>
      </w:pPr>
      <w:r>
        <w:rPr>
          <w:rFonts w:cs="Calibri"/>
          <w:color w:val="000000"/>
          <w:szCs w:val="21"/>
        </w:rPr>
        <w:t>投标人：（盖单位章）</w:t>
      </w:r>
    </w:p>
    <w:p>
      <w:pPr>
        <w:snapToGrid w:val="0"/>
        <w:spacing w:line="440" w:lineRule="exact"/>
        <w:ind w:firstLine="3969"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9" w:firstLineChars="1890"/>
        <w:rPr>
          <w:rFonts w:cs="Calibri"/>
          <w:b/>
          <w:szCs w:val="21"/>
        </w:rPr>
      </w:pPr>
      <w:r>
        <w:rPr>
          <w:rFonts w:cs="Calibri"/>
          <w:color w:val="000000"/>
          <w:szCs w:val="21"/>
        </w:rPr>
        <w:t>日期：    年     月     日</w:t>
      </w:r>
    </w:p>
    <w:p>
      <w:pPr>
        <w:spacing w:line="440" w:lineRule="exact"/>
        <w:rPr>
          <w:rFonts w:cs="Calibri"/>
          <w:b/>
          <w:bCs/>
          <w:color w:val="000000"/>
          <w:sz w:val="32"/>
        </w:rPr>
      </w:pPr>
      <w:r>
        <w:rPr>
          <w:rFonts w:eastAsia="黑体" w:cs="Calibri"/>
          <w:bCs/>
          <w:color w:val="000000"/>
          <w:szCs w:val="21"/>
        </w:rPr>
        <w:br w:type="page"/>
      </w:r>
    </w:p>
    <w:p>
      <w:pPr>
        <w:tabs>
          <w:tab w:val="left" w:pos="7740"/>
        </w:tabs>
        <w:spacing w:line="360" w:lineRule="auto"/>
        <w:jc w:val="center"/>
        <w:rPr>
          <w:rFonts w:ascii="黑体" w:hAnsi="黑体" w:eastAsia="黑体" w:cs="黑体"/>
          <w:bCs/>
          <w:sz w:val="32"/>
          <w:szCs w:val="32"/>
        </w:rPr>
      </w:pPr>
      <w:r>
        <w:rPr>
          <w:rFonts w:hint="eastAsia" w:ascii="黑体" w:hAnsi="黑体" w:eastAsia="黑体" w:cs="黑体"/>
          <w:bCs/>
          <w:sz w:val="32"/>
          <w:szCs w:val="32"/>
        </w:rPr>
        <w:t>绿化租摆专项单价报价表</w:t>
      </w:r>
    </w:p>
    <w:p>
      <w:pPr>
        <w:spacing w:line="360" w:lineRule="auto"/>
        <w:rPr>
          <w:rFonts w:ascii="宋体" w:hAnsi="宋体" w:cs="宋体"/>
          <w:bCs/>
          <w:sz w:val="24"/>
          <w:szCs w:val="24"/>
        </w:rPr>
      </w:pPr>
    </w:p>
    <w:p>
      <w:pPr>
        <w:spacing w:line="360" w:lineRule="auto"/>
        <w:ind w:firstLine="480" w:firstLineChars="200"/>
        <w:rPr>
          <w:rFonts w:ascii="宋体" w:hAnsi="宋体" w:cs="宋体"/>
          <w:sz w:val="24"/>
          <w:szCs w:val="24"/>
        </w:rPr>
      </w:pPr>
      <w:r>
        <w:rPr>
          <w:rFonts w:hint="eastAsia" w:ascii="宋体" w:hAnsi="宋体" w:cs="宋体"/>
          <w:bCs/>
          <w:sz w:val="24"/>
          <w:szCs w:val="24"/>
        </w:rPr>
        <w:t>注：所有报价均包含</w:t>
      </w:r>
      <w:r>
        <w:rPr>
          <w:rFonts w:hint="eastAsia" w:ascii="宋体" w:hAnsi="宋体" w:cs="宋体"/>
          <w:sz w:val="24"/>
          <w:szCs w:val="24"/>
        </w:rPr>
        <w:t>绿植、花卉、花架、设备（含抗台支撑）、设施维护、人工、补植费、水电费、巡视、施肥、农药、景观小品及其他相关费用。</w:t>
      </w:r>
      <w:r>
        <w:rPr>
          <w:rFonts w:hint="eastAsia" w:ascii="宋体" w:cs="宋体"/>
          <w:kern w:val="0"/>
          <w:sz w:val="24"/>
        </w:rPr>
        <w:t>清单所列盆花品种为航站楼盆花租摆项目基本标准要求，实际投放的盆花品种不得低于此标准。</w:t>
      </w:r>
    </w:p>
    <w:p>
      <w:pPr>
        <w:pStyle w:val="2"/>
        <w:ind w:firstLine="210"/>
      </w:pPr>
    </w:p>
    <w:p>
      <w:pPr>
        <w:widowControl/>
        <w:adjustRightInd w:val="0"/>
        <w:snapToGrid w:val="0"/>
        <w:spacing w:line="360" w:lineRule="auto"/>
        <w:jc w:val="left"/>
        <w:rPr>
          <w:rFonts w:ascii="宋体" w:hAnsi="宋体" w:cs="宋体"/>
          <w:kern w:val="0"/>
          <w:sz w:val="22"/>
        </w:rPr>
      </w:pPr>
      <w:r>
        <w:rPr>
          <w:rFonts w:hint="eastAsia" w:ascii="宋体" w:hAnsi="宋体" w:cs="宋体"/>
          <w:kern w:val="0"/>
          <w:sz w:val="22"/>
        </w:rPr>
        <w:t>一、重点柜台（安检、失物招领、问询）植物租摆费用清单</w:t>
      </w:r>
    </w:p>
    <w:tbl>
      <w:tblPr>
        <w:tblStyle w:val="89"/>
        <w:tblW w:w="9812" w:type="dxa"/>
        <w:tblInd w:w="0" w:type="dxa"/>
        <w:tblLayout w:type="fixed"/>
        <w:tblCellMar>
          <w:top w:w="15" w:type="dxa"/>
          <w:left w:w="15" w:type="dxa"/>
          <w:bottom w:w="15" w:type="dxa"/>
          <w:right w:w="15" w:type="dxa"/>
        </w:tblCellMar>
      </w:tblPr>
      <w:tblGrid>
        <w:gridCol w:w="705"/>
        <w:gridCol w:w="1348"/>
        <w:gridCol w:w="1190"/>
        <w:gridCol w:w="1417"/>
        <w:gridCol w:w="1015"/>
        <w:gridCol w:w="919"/>
        <w:gridCol w:w="1124"/>
        <w:gridCol w:w="1137"/>
        <w:gridCol w:w="957"/>
      </w:tblGrid>
      <w:tr>
        <w:tblPrEx>
          <w:tblLayout w:type="fixed"/>
          <w:tblCellMar>
            <w:top w:w="15" w:type="dxa"/>
            <w:left w:w="15" w:type="dxa"/>
            <w:bottom w:w="15" w:type="dxa"/>
            <w:right w:w="15" w:type="dxa"/>
          </w:tblCellMar>
        </w:tblPrEx>
        <w:trPr>
          <w:trHeight w:val="459" w:hRule="atLeast"/>
        </w:trPr>
        <w:tc>
          <w:tcPr>
            <w:tcW w:w="705"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序号</w:t>
            </w:r>
          </w:p>
        </w:tc>
        <w:tc>
          <w:tcPr>
            <w:tcW w:w="1348"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位置</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品种</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规格（M）</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数量（盆）</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花器供应</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日价</w:t>
            </w:r>
          </w:p>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（元/盆/天）</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年价</w:t>
            </w:r>
          </w:p>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（元/年）</w:t>
            </w: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备注</w:t>
            </w:r>
          </w:p>
        </w:tc>
      </w:tr>
      <w:tr>
        <w:tblPrEx>
          <w:tblLayout w:type="fixed"/>
          <w:tblCellMar>
            <w:top w:w="15" w:type="dxa"/>
            <w:left w:w="15" w:type="dxa"/>
            <w:bottom w:w="15" w:type="dxa"/>
            <w:right w:w="15" w:type="dxa"/>
          </w:tblCellMar>
        </w:tblPrEx>
        <w:trPr>
          <w:trHeight w:val="360" w:hRule="atLeast"/>
        </w:trPr>
        <w:tc>
          <w:tcPr>
            <w:tcW w:w="20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b/>
                <w:color w:val="000000"/>
                <w:sz w:val="16"/>
                <w:szCs w:val="16"/>
              </w:rPr>
            </w:pPr>
            <w:r>
              <w:rPr>
                <w:rFonts w:hint="eastAsia" w:ascii="微软雅黑" w:hAnsi="微软雅黑" w:eastAsia="微软雅黑" w:cs="微软雅黑"/>
                <w:b/>
                <w:color w:val="000000"/>
                <w:kern w:val="0"/>
                <w:sz w:val="16"/>
                <w:szCs w:val="16"/>
                <w:lang w:bidi="ar"/>
              </w:rPr>
              <w:t>T1区域</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微软雅黑" w:hAnsi="微软雅黑" w:eastAsia="微软雅黑" w:cs="微软雅黑"/>
                <w:color w:val="000000"/>
                <w:sz w:val="16"/>
                <w:szCs w:val="16"/>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微软雅黑" w:hAnsi="微软雅黑" w:eastAsia="微软雅黑" w:cs="微软雅黑"/>
                <w:color w:val="000000"/>
                <w:sz w:val="16"/>
                <w:szCs w:val="16"/>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微软雅黑" w:hAnsi="微软雅黑" w:eastAsia="微软雅黑" w:cs="微软雅黑"/>
                <w:color w:val="000000"/>
                <w:sz w:val="16"/>
                <w:szCs w:val="16"/>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微软雅黑" w:hAnsi="微软雅黑" w:eastAsia="微软雅黑" w:cs="微软雅黑"/>
                <w:color w:val="000000"/>
                <w:sz w:val="16"/>
                <w:szCs w:val="16"/>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微软雅黑" w:hAnsi="微软雅黑" w:eastAsia="微软雅黑" w:cs="微软雅黑"/>
                <w:color w:val="000000"/>
                <w:sz w:val="16"/>
                <w:szCs w:val="16"/>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微软雅黑" w:hAnsi="微软雅黑" w:eastAsia="微软雅黑" w:cs="微软雅黑"/>
                <w:color w:val="000000"/>
                <w:sz w:val="16"/>
                <w:szCs w:val="16"/>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微软雅黑" w:hAnsi="微软雅黑" w:eastAsia="微软雅黑" w:cs="微软雅黑"/>
                <w:color w:val="000000"/>
                <w:sz w:val="16"/>
                <w:szCs w:val="16"/>
              </w:rPr>
            </w:pPr>
          </w:p>
        </w:tc>
      </w:tr>
      <w:tr>
        <w:tblPrEx>
          <w:tblLayout w:type="fixed"/>
          <w:tblCellMar>
            <w:top w:w="15" w:type="dxa"/>
            <w:left w:w="15" w:type="dxa"/>
            <w:bottom w:w="15" w:type="dxa"/>
            <w:right w:w="15" w:type="dxa"/>
          </w:tblCellMar>
        </w:tblPrEx>
        <w:trPr>
          <w:trHeight w:val="63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出发大厅问询台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蝴蝶兰组合（8合1）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安检柜台上</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小蝴蝶兰（2合1）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花卉H0.4 P0.4</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员工安检柜台上</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小蝴蝶兰（2合1）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花卉H0.4P0.4</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失物招领柜台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小蝴蝶兰（4合1）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花卉H0.4P0.4</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20" w:hRule="atLeast"/>
        </w:trPr>
        <w:tc>
          <w:tcPr>
            <w:tcW w:w="205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lang w:bidi="ar"/>
              </w:rPr>
              <w:t>T2区域</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r>
      <w:tr>
        <w:tblPrEx>
          <w:tblLayout w:type="fixed"/>
          <w:tblCellMar>
            <w:top w:w="15" w:type="dxa"/>
            <w:left w:w="15" w:type="dxa"/>
            <w:bottom w:w="15" w:type="dxa"/>
            <w:right w:w="15" w:type="dxa"/>
          </w:tblCellMar>
        </w:tblPrEx>
        <w:trPr>
          <w:trHeight w:val="63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大厅问询服务台上</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蝴蝶兰组合（8合1）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安检入口台上</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小蝴蝶兰（6合1）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花卉H0.4 P0.4</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通道安检口柜台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小蝴蝶兰（2合1）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花卉H0.4 P0.4</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5"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348"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T2出发大厅售票处柜台</w:t>
            </w:r>
          </w:p>
        </w:tc>
        <w:tc>
          <w:tcPr>
            <w:tcW w:w="1190"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小蝴蝶兰（4合1）</w:t>
            </w:r>
          </w:p>
        </w:tc>
        <w:tc>
          <w:tcPr>
            <w:tcW w:w="1417"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花卉H0.4P0.4</w:t>
            </w:r>
          </w:p>
        </w:tc>
        <w:tc>
          <w:tcPr>
            <w:tcW w:w="1015"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919"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24"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37"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7"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390" w:hRule="atLeast"/>
        </w:trPr>
        <w:tc>
          <w:tcPr>
            <w:tcW w:w="205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lang w:bidi="ar"/>
              </w:rPr>
              <w:t>T3区域</w:t>
            </w:r>
          </w:p>
        </w:tc>
        <w:tc>
          <w:tcPr>
            <w:tcW w:w="119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sz w:val="16"/>
                <w:szCs w:val="16"/>
              </w:rPr>
            </w:pPr>
          </w:p>
        </w:tc>
        <w:tc>
          <w:tcPr>
            <w:tcW w:w="141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sz w:val="16"/>
                <w:szCs w:val="16"/>
              </w:rPr>
            </w:pPr>
          </w:p>
        </w:tc>
        <w:tc>
          <w:tcPr>
            <w:tcW w:w="101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sz w:val="16"/>
                <w:szCs w:val="16"/>
              </w:rPr>
            </w:pP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sz w:val="16"/>
                <w:szCs w:val="16"/>
              </w:rPr>
            </w:pPr>
          </w:p>
        </w:tc>
        <w:tc>
          <w:tcPr>
            <w:tcW w:w="11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sz w:val="16"/>
                <w:szCs w:val="16"/>
              </w:rPr>
            </w:pPr>
          </w:p>
        </w:tc>
        <w:tc>
          <w:tcPr>
            <w:tcW w:w="113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sz w:val="16"/>
                <w:szCs w:val="16"/>
              </w:rPr>
            </w:pPr>
          </w:p>
        </w:tc>
        <w:tc>
          <w:tcPr>
            <w:tcW w:w="95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color w:val="000000"/>
                <w:sz w:val="16"/>
                <w:szCs w:val="16"/>
              </w:rPr>
            </w:pPr>
          </w:p>
        </w:tc>
      </w:tr>
      <w:tr>
        <w:tblPrEx>
          <w:tblLayout w:type="fixed"/>
          <w:tblCellMar>
            <w:top w:w="15" w:type="dxa"/>
            <w:left w:w="15" w:type="dxa"/>
            <w:bottom w:w="15" w:type="dxa"/>
            <w:right w:w="15" w:type="dxa"/>
          </w:tblCellMar>
        </w:tblPrEx>
        <w:trPr>
          <w:trHeight w:val="630" w:hRule="atLeast"/>
        </w:trPr>
        <w:tc>
          <w:tcPr>
            <w:tcW w:w="705"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348"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问询台上</w:t>
            </w:r>
          </w:p>
        </w:tc>
        <w:tc>
          <w:tcPr>
            <w:tcW w:w="1190" w:type="dxa"/>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蝴蝶兰组合</w:t>
            </w:r>
          </w:p>
        </w:tc>
        <w:tc>
          <w:tcPr>
            <w:tcW w:w="1417" w:type="dxa"/>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高档花卉H0.8P0.7</w:t>
            </w:r>
          </w:p>
        </w:tc>
        <w:tc>
          <w:tcPr>
            <w:tcW w:w="1015" w:type="dxa"/>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919" w:type="dxa"/>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24" w:type="dxa"/>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37" w:type="dxa"/>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7" w:type="dxa"/>
            <w:tcBorders>
              <w:top w:val="single" w:color="auto"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安检柜台</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花卉H0.0.4P0.0.4</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问询台上</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蝴蝶兰组合</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高档花卉H0.8 P0.7</w:t>
            </w: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合计</w:t>
            </w:r>
          </w:p>
        </w:tc>
        <w:tc>
          <w:tcPr>
            <w:tcW w:w="13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bl>
    <w:p>
      <w:pPr>
        <w:widowControl/>
        <w:adjustRightInd w:val="0"/>
        <w:snapToGrid w:val="0"/>
        <w:spacing w:before="240" w:beforeLines="100" w:after="120" w:afterLines="50" w:line="360" w:lineRule="auto"/>
        <w:jc w:val="left"/>
        <w:rPr>
          <w:rFonts w:ascii="宋体" w:hAnsi="宋体" w:cs="宋体"/>
          <w:kern w:val="0"/>
          <w:sz w:val="22"/>
        </w:rPr>
      </w:pPr>
      <w:r>
        <w:rPr>
          <w:rFonts w:hint="eastAsia" w:ascii="宋体" w:hAnsi="宋体" w:cs="宋体"/>
          <w:kern w:val="0"/>
          <w:sz w:val="22"/>
        </w:rPr>
        <w:t>二、头等舱、接待室、党员初心、母婴室站植物租摆费用清单</w:t>
      </w:r>
    </w:p>
    <w:tbl>
      <w:tblPr>
        <w:tblStyle w:val="89"/>
        <w:tblW w:w="9819" w:type="dxa"/>
        <w:tblInd w:w="0" w:type="dxa"/>
        <w:tblLayout w:type="fixed"/>
        <w:tblCellMar>
          <w:top w:w="15" w:type="dxa"/>
          <w:left w:w="15" w:type="dxa"/>
          <w:bottom w:w="15" w:type="dxa"/>
          <w:right w:w="15" w:type="dxa"/>
        </w:tblCellMar>
      </w:tblPr>
      <w:tblGrid>
        <w:gridCol w:w="706"/>
        <w:gridCol w:w="1350"/>
        <w:gridCol w:w="1182"/>
        <w:gridCol w:w="1425"/>
        <w:gridCol w:w="1012"/>
        <w:gridCol w:w="900"/>
        <w:gridCol w:w="1144"/>
        <w:gridCol w:w="1144"/>
        <w:gridCol w:w="956"/>
      </w:tblGrid>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微软雅黑" w:hAnsi="微软雅黑" w:eastAsia="微软雅黑" w:cs="微软雅黑"/>
                <w:color w:val="000000"/>
                <w:kern w:val="0"/>
                <w:sz w:val="16"/>
                <w:szCs w:val="16"/>
                <w:lang w:bidi="ar"/>
              </w:rPr>
              <w:t>序号</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微软雅黑" w:hAnsi="微软雅黑" w:eastAsia="微软雅黑" w:cs="微软雅黑"/>
                <w:color w:val="000000"/>
                <w:kern w:val="0"/>
                <w:sz w:val="16"/>
                <w:szCs w:val="16"/>
                <w:lang w:bidi="ar"/>
              </w:rPr>
              <w:t>位置</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微软雅黑" w:hAnsi="微软雅黑" w:eastAsia="微软雅黑" w:cs="微软雅黑"/>
                <w:color w:val="000000"/>
                <w:kern w:val="0"/>
                <w:sz w:val="16"/>
                <w:szCs w:val="16"/>
                <w:lang w:bidi="ar"/>
              </w:rPr>
              <w:t>品种</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微软雅黑" w:hAnsi="微软雅黑" w:eastAsia="微软雅黑" w:cs="微软雅黑"/>
                <w:color w:val="000000"/>
                <w:kern w:val="0"/>
                <w:sz w:val="16"/>
                <w:szCs w:val="16"/>
                <w:lang w:bidi="ar"/>
              </w:rPr>
              <w:t>规格（M）</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微软雅黑" w:hAnsi="微软雅黑" w:eastAsia="微软雅黑" w:cs="微软雅黑"/>
                <w:color w:val="000000"/>
                <w:kern w:val="0"/>
                <w:sz w:val="16"/>
                <w:szCs w:val="16"/>
                <w:lang w:bidi="ar"/>
              </w:rPr>
              <w:t>数量（盆）</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微软雅黑" w:hAnsi="微软雅黑" w:eastAsia="微软雅黑" w:cs="微软雅黑"/>
                <w:color w:val="000000"/>
                <w:kern w:val="0"/>
                <w:sz w:val="16"/>
                <w:szCs w:val="16"/>
                <w:lang w:bidi="ar"/>
              </w:rPr>
              <w:t>花器供应</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日价</w:t>
            </w:r>
          </w:p>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（元/盆/天）</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年价</w:t>
            </w:r>
          </w:p>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（元/年）</w:t>
            </w: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备注</w:t>
            </w: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国际接待室侧</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散尾葵</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大H1.8P1.2</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国际接待室</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夏威夷椰子</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大H1.8P0.8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发财树</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大H1.7P1.0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国际接待室茶几上</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盆景榕</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盆景H0.6 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国际2楼头等舱服务台上</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蝴蝶兰</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国际上头等舱入口台阶</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非洲茉莉</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H1.0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国际2楼头等舱两侧</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棕竹</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H1.2 P0.6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国际2楼头等舱茶几上</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花卉H0.4P0.45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国际2楼头等舱餐厅区域</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散尾葵</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大H1.3P1.0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夏威夷椰子</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大H1.5P1.5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非洲茉莉</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H1.0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国际2楼头等舱电脑桌上</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粉掌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花卉H0.6 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国际2楼头等舱电脑桌旁</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鸭脚木</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中H0.7P0.7</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国际头等舱紧急出口楼梯对面柜台</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花卉H0.4P0.45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国际头等舱靠停机坪玻璃下</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17</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国际头等舱餐厅四周</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幸福树</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超大H2.5 P1.8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多头龙血树</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超大H2.5 P2.0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19</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国际头等舱卫生间入口两侧</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玉桂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大H1.6 P1.5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20"/>
                <w:szCs w:val="20"/>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国际头等舱服务台边</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玉桂</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大H1.6 P1.5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22</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国际头等舱男女卫生间</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花卉H0.7 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23</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T2国际头等舱</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虎皮兰</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P1.0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T2头等舱紧急出口楼梯上</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H1.0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26</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国际中转厅头等舱内</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花卉H0.7P0.45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27</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夏威夷椰子</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H1.50P0.80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28</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吊绿萝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小型H0.45P0.45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29</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H1.0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国际中转厅头等舱门口（2个）</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巴西铁</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大H1.70P0.80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F4头等舱休息室门口</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黑金刚</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中H0.6P0.8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32</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F4头等舱休息室内</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花卉H0.7P0.25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33</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 P0.6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34</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发财树</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H1.7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35</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36</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水培红掌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花卉H0.6 P0.25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37</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水培红掌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花卉H0.4P0.2</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38</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富贵竹笼</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中H1.5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F4头等舱服务台</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小蝴蝶兰（4合1）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花卉H0.4P0.4</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9号头等舱台阶上</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大黄金葛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9号头等舱入口玻璃门右侧</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巴西美人（4合1）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中H0.8P0.6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9号头等舱靠墙一侧</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白掌  （6合1）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花卉H0.8P0.75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43</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9号头等舱进门柜台两侧</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44</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 P0.6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9号头等舱电梯口</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9号头等舱柜台上</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蝴蝶兰</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高档花卉H0.8 P0.7</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9号头等舱茶几上</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高档花卉H0.4 P0.4</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48</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9号头等舱休息区</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发财树</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超大H1.7 P1.5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49</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盆景发财树</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盆景H0.6 P0.5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sz w:val="16"/>
                <w:szCs w:val="16"/>
              </w:rPr>
              <w:t>50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9号头等舱隔墙上</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花卉H0.75 P0.7</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9号头等舱包厢通道</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雅丽皇后</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中H0.75 P0.7</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52</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9号头等舱第一个包厢</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青叶也门铁</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53</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花卉H0.7 P0.4</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54</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9号头等舱第二个包厢</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青叶也门铁</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青叶也门铁</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55</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56</w:t>
            </w: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虎皮兰</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虎皮兰</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9号头等舱第三个</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青叶也门铁</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包厢</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 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初心室</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小蝴蝶兰（4合1）</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花卉H0.4P0.45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初心室</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 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61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母婴室</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黄金葛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小H0.45 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60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合计</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5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bl>
    <w:p>
      <w:pPr>
        <w:widowControl/>
        <w:adjustRightInd w:val="0"/>
        <w:snapToGrid w:val="0"/>
        <w:spacing w:before="240" w:beforeLines="100" w:after="120" w:afterLines="50" w:line="360" w:lineRule="auto"/>
        <w:jc w:val="left"/>
        <w:rPr>
          <w:rFonts w:ascii="宋体" w:hAnsi="宋体" w:cs="宋体"/>
          <w:kern w:val="0"/>
          <w:sz w:val="22"/>
        </w:rPr>
      </w:pPr>
      <w:r>
        <w:rPr>
          <w:rFonts w:hint="eastAsia" w:ascii="宋体" w:hAnsi="宋体" w:cs="宋体"/>
          <w:kern w:val="0"/>
          <w:sz w:val="22"/>
        </w:rPr>
        <w:t>三、楼内其它区域植物租摆费用清单</w:t>
      </w:r>
    </w:p>
    <w:tbl>
      <w:tblPr>
        <w:tblStyle w:val="89"/>
        <w:tblW w:w="9819" w:type="dxa"/>
        <w:tblInd w:w="0" w:type="dxa"/>
        <w:tblLayout w:type="fixed"/>
        <w:tblCellMar>
          <w:top w:w="15" w:type="dxa"/>
          <w:left w:w="15" w:type="dxa"/>
          <w:bottom w:w="15" w:type="dxa"/>
          <w:right w:w="15" w:type="dxa"/>
        </w:tblCellMar>
      </w:tblPr>
      <w:tblGrid>
        <w:gridCol w:w="706"/>
        <w:gridCol w:w="1369"/>
        <w:gridCol w:w="1163"/>
        <w:gridCol w:w="1425"/>
        <w:gridCol w:w="1012"/>
        <w:gridCol w:w="900"/>
        <w:gridCol w:w="1144"/>
        <w:gridCol w:w="1162"/>
        <w:gridCol w:w="938"/>
      </w:tblGrid>
      <w:tr>
        <w:tblPrEx>
          <w:tblLayout w:type="fixed"/>
          <w:tblCellMar>
            <w:top w:w="15" w:type="dxa"/>
            <w:left w:w="15" w:type="dxa"/>
            <w:bottom w:w="15" w:type="dxa"/>
            <w:right w:w="15" w:type="dxa"/>
          </w:tblCellMar>
        </w:tblPrEx>
        <w:trPr>
          <w:trHeight w:val="496"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lang w:bidi="ar"/>
              </w:rPr>
            </w:pPr>
            <w:r>
              <w:rPr>
                <w:rFonts w:hint="eastAsia" w:ascii="微软雅黑" w:hAnsi="微软雅黑" w:eastAsia="微软雅黑" w:cs="微软雅黑"/>
                <w:color w:val="000000"/>
                <w:kern w:val="0"/>
                <w:sz w:val="16"/>
                <w:szCs w:val="16"/>
                <w:lang w:bidi="ar"/>
              </w:rPr>
              <w:t>序号</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lang w:bidi="ar"/>
              </w:rPr>
            </w:pPr>
            <w:r>
              <w:rPr>
                <w:rFonts w:hint="eastAsia" w:ascii="微软雅黑" w:hAnsi="微软雅黑" w:eastAsia="微软雅黑" w:cs="微软雅黑"/>
                <w:color w:val="000000"/>
                <w:kern w:val="0"/>
                <w:sz w:val="16"/>
                <w:szCs w:val="16"/>
                <w:lang w:bidi="ar"/>
              </w:rPr>
              <w:t>位置</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lang w:bidi="ar"/>
              </w:rPr>
            </w:pPr>
            <w:r>
              <w:rPr>
                <w:rFonts w:hint="eastAsia" w:ascii="微软雅黑" w:hAnsi="微软雅黑" w:eastAsia="微软雅黑" w:cs="微软雅黑"/>
                <w:color w:val="000000"/>
                <w:kern w:val="0"/>
                <w:sz w:val="16"/>
                <w:szCs w:val="16"/>
                <w:lang w:bidi="ar"/>
              </w:rPr>
              <w:t>品种</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lang w:bidi="ar"/>
              </w:rPr>
            </w:pPr>
            <w:r>
              <w:rPr>
                <w:rFonts w:hint="eastAsia" w:ascii="微软雅黑" w:hAnsi="微软雅黑" w:eastAsia="微软雅黑" w:cs="微软雅黑"/>
                <w:color w:val="000000"/>
                <w:kern w:val="0"/>
                <w:sz w:val="16"/>
                <w:szCs w:val="16"/>
                <w:lang w:bidi="ar"/>
              </w:rPr>
              <w:t>规格（M）</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lang w:bidi="ar"/>
              </w:rPr>
            </w:pPr>
            <w:r>
              <w:rPr>
                <w:rFonts w:hint="eastAsia" w:ascii="微软雅黑" w:hAnsi="微软雅黑" w:eastAsia="微软雅黑" w:cs="微软雅黑"/>
                <w:color w:val="000000"/>
                <w:kern w:val="0"/>
                <w:sz w:val="16"/>
                <w:szCs w:val="16"/>
                <w:lang w:bidi="ar"/>
              </w:rPr>
              <w:t>数量（盆）</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20"/>
                <w:szCs w:val="20"/>
                <w:lang w:bidi="ar"/>
              </w:rPr>
            </w:pPr>
            <w:r>
              <w:rPr>
                <w:rFonts w:hint="eastAsia" w:ascii="微软雅黑" w:hAnsi="微软雅黑" w:eastAsia="微软雅黑" w:cs="微软雅黑"/>
                <w:color w:val="000000"/>
                <w:kern w:val="0"/>
                <w:sz w:val="16"/>
                <w:szCs w:val="16"/>
                <w:lang w:bidi="ar"/>
              </w:rPr>
              <w:t>花器供应</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日价</w:t>
            </w:r>
          </w:p>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（元/盆/天）</w:t>
            </w: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年价</w:t>
            </w:r>
          </w:p>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（元/年）</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备注</w:t>
            </w:r>
          </w:p>
        </w:tc>
      </w:tr>
      <w:tr>
        <w:tblPrEx>
          <w:tblLayout w:type="fixed"/>
          <w:tblCellMar>
            <w:top w:w="15" w:type="dxa"/>
            <w:left w:w="15" w:type="dxa"/>
            <w:bottom w:w="15" w:type="dxa"/>
            <w:right w:w="15" w:type="dxa"/>
          </w:tblCellMar>
        </w:tblPrEx>
        <w:trPr>
          <w:trHeight w:val="360" w:hRule="atLeast"/>
        </w:trPr>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16"/>
                <w:szCs w:val="16"/>
                <w:lang w:bidi="ar"/>
              </w:rPr>
              <w:t>T1一楼区域</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9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6、8、10号门进门两侧</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失物招领对面</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6-8号门男女厕所（W1158）</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H1.7 P1.0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一叶兰</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H0.8 P0.5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8-10号门男女厕所（W1101）</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青叶也门铁</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绿巨人</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大H1.0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员工安检处墙边</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雅丽皇后</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H0.8 P0.6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285" w:hRule="atLeast"/>
        </w:trPr>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lang w:bidi="ar"/>
              </w:rPr>
              <w:t>T1到达夹层</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B12到达夹层口</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大H1.7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9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到达行李大厅靠墙一侧</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P1.0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行李转盘台上</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红掌组合</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中H0.7 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9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B03-B07到达夹层靠窗台面</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组合盆H0.45 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到达行李大厅出口处</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P1.0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B9-11到达出口口</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大H1.7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285" w:hRule="atLeast"/>
        </w:trPr>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lang w:bidi="ar"/>
              </w:rPr>
              <w:t>T1三楼区域</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C22值机岛边上</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安检门口</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螺纹铁</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员工安检通道</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红星组合</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安检办公室</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超大H1.8P0.6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螺纹铁</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鸭脚木</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中H0.7P0.7</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安检内柱子边</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幸福树</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超大H3.0P2.0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B85-87远机位</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大H1.8 P1.2</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W3010厕所内</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万年青</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中H0.75P0.7</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W3016厕所内</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万年青</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中H0.75P0.7</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B855厕所</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一叶兰</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中H0.8 P0.5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9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卫星厅靠中空区玻璃侧</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螺纹铁</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13</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卫星厅远机位</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P1.0</w:t>
            </w:r>
          </w:p>
        </w:tc>
        <w:tc>
          <w:tcPr>
            <w:tcW w:w="1012" w:type="dxa"/>
            <w:tcBorders>
              <w:top w:val="single" w:color="000000" w:sz="4" w:space="0"/>
              <w:left w:val="single" w:color="000000" w:sz="4" w:space="0"/>
              <w:bottom w:val="single" w:color="auto"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P1.0</w:t>
            </w:r>
          </w:p>
        </w:tc>
        <w:tc>
          <w:tcPr>
            <w:tcW w:w="1012" w:type="dxa"/>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r>
              <w:rPr>
                <w:rFonts w:hint="eastAsia" w:ascii="宋体" w:hAnsi="宋体" w:cs="宋体"/>
                <w:color w:val="000000"/>
                <w:sz w:val="16"/>
                <w:szCs w:val="16"/>
              </w:rPr>
              <w:t>3</w:t>
            </w: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15</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高杆绿宝树</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大H1.7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富贵树</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超大H3.0 P2.0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17</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医疗急救室</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19</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5、7、9号门进门两侧</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超大H1.8P1.0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5、7号门扶梯边</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也门铁</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中H0.8P0.6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21</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9号-T3连接处</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幸福树</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超大H3.0P2.0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22</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23</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T1B1-13登机口</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285" w:hRule="atLeast"/>
        </w:trPr>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lang w:bidi="ar"/>
              </w:rPr>
              <w:t>T2三楼区域</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大门口高架桥入口</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罗汉松</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9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国际出发入口两侧（4处）</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造型水蜡</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H2.0 P1.5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T1-T2高架桥连接处</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造型榕树</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H2.0 P1.5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9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出发大厅靠出入口侧柱子前</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升降电梯旁（1号门）</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H0.8 P0.6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升降电梯旁（3号门）</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H0.8 P0.6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1号门进门指示牌两侧</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红掌组合</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12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托运行李检查室(3093、3094）</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发财树</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H1.7 P1.0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安检入口两侧</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海关申报区靠机坪侧</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富贵树</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特大H2.5 P1.5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9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联检大厅靠停机栏玻璃隔断</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琴叶榕</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大H1.8P1.5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13</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联检柱子前</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造型榕树</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H2.0 P2.0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15</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候机大厅柱子旁</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金山棕</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H2.0 P2.0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9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免税商场中间显示牌两侧</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9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17</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A01-A08登机口（靠窗）</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H2.0 P1.0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A09-A12登机口靠机坪</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夏威夷椰子</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H1.5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19</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中转厅内</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大H1.50P0.80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21</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医疗急救室</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22</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T2口岸签证</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红叶朱蕉</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23</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25</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T2出发大厅立柱</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高山榕</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超大H3.0P1.5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285" w:hRule="atLeast"/>
        </w:trPr>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16"/>
                <w:szCs w:val="16"/>
                <w:lang w:bidi="ar"/>
              </w:rPr>
              <w:t>T2到达区域</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迎宾通道右侧空地上</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构骨球</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特大H2.5 P2.0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大门口一侧（2处）</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造型水蜡</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H2.0 P1.5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杜鹃花</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花卉H0.75P0.7</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到达门口外（2处）</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一叶兰</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中H0.75P0.7</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到达大厅靠出入口侧柱子前</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高杆绿宝树</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波士顿蕨</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到达大厅导视图两侧</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散尾葵</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H2.0 P1.5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升降电梯旁（2个）</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H0.8 P0.6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r>
              <w:rPr>
                <w:rFonts w:hint="eastAsia" w:ascii="宋体" w:hAnsi="宋体" w:cs="宋体"/>
                <w:color w:val="000000"/>
                <w:sz w:val="16"/>
                <w:szCs w:val="16"/>
              </w:rPr>
              <w:t>9</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H0.8 P0.6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到达出口两侧</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高杆绿宝树</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中国边检大厅</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中国检验检疫</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13</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T2到达夹层</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红叶朱蕉</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行李提取厅转盘</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375" w:hRule="atLeast"/>
        </w:trPr>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lang w:bidi="ar"/>
              </w:rPr>
              <w:t>T3三楼区域</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6"/>
                <w:szCs w:val="16"/>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大门外</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罗汉松</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超特大H3.0P1.8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9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13号门进门左侧扶梯边</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大H2.0P1.6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9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11号门进门左侧扶梯边</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大H2.0P1.6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11号门进门左侧自助值机柜台边</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大厅船型座椅（3组）</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如意</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 0.45 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安检门口两侧</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螺纹铁</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195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B3026室（安护部客检现场值班室）</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巴西美人</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中H0.75 P0.7</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 0.45 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安检通道一侧（3个）</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大红掌组合</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9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13</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安检内大厅显示屏两侧</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 0.45 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B95-98远机位</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630" w:hRule="atLeast"/>
        </w:trPr>
        <w:tc>
          <w:tcPr>
            <w:tcW w:w="706"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15</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长指廊走廊通道两侧靠窗</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橡皮树</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超大H2.0 P1.8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sz w:val="16"/>
                <w:szCs w:val="16"/>
              </w:rPr>
              <w:t>16</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长指廊第一个平行扶梯一侧</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如意</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H0.5 P0.5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17</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长指廊第二个平行扶梯一侧</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如意</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H0.5 P0.5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19</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医疗急救室</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21</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北走廊通道两侧靠窗</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橡皮树</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超大H2.0 P1.8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22</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北指廊第三个平行扶梯一侧</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如意</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H0.5 P0.5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23</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北指廊到底扶梯两侧</w:t>
            </w:r>
          </w:p>
        </w:tc>
        <w:tc>
          <w:tcPr>
            <w:tcW w:w="11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小品组合</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澳洲杉盆景</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285"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25</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285"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26</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27</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B27-B32休息区</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28</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B27-B29休息区</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金心也门铁</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H0.7 P0.6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29</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红掌组合</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花卉H0.65 P0.75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14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30</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北指廊登机口指示牌上吊篮（共13只）</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 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31</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中走廊通道两侧靠窗</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橡皮树</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超大H2.0 P1.8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32</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中指廊平行扶梯一侧</w:t>
            </w:r>
          </w:p>
        </w:tc>
        <w:tc>
          <w:tcPr>
            <w:tcW w:w="25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金心也门铁</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33</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34</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中指廊到底扶梯两侧</w:t>
            </w:r>
          </w:p>
        </w:tc>
        <w:tc>
          <w:tcPr>
            <w:tcW w:w="11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小品组合</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盆景榕</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35</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红星</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285"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r>
              <w:rPr>
                <w:rFonts w:hint="eastAsia" w:ascii="宋体" w:hAnsi="宋体" w:cs="宋体"/>
                <w:color w:val="000000"/>
                <w:sz w:val="16"/>
                <w:szCs w:val="16"/>
              </w:rPr>
              <w:t>36</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r>
              <w:rPr>
                <w:rFonts w:hint="eastAsia" w:ascii="宋体" w:hAnsi="宋体" w:cs="宋体"/>
                <w:color w:val="000000"/>
                <w:sz w:val="16"/>
                <w:szCs w:val="16"/>
              </w:rPr>
              <w:t>12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9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37</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中指廊到底休息区柱边</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38</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B17-B19登机口休息区</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青叶也门铁</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H1.5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39</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B17-B19扶梯两侧</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大红掌组合</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花卉H0.65 P0.75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14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40</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中指廊登机口指示牌上吊篮（共4只）</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 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41</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T3公安现场值班室</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42</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H0.8 P0.7</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43</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如意</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44</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白掌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花卉H0.65 P0.75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45</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9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46</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T3A1厦航贵宾休息室门口</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H1.8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285" w:hRule="atLeast"/>
        </w:trPr>
        <w:tc>
          <w:tcPr>
            <w:tcW w:w="20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000000"/>
                <w:sz w:val="20"/>
                <w:szCs w:val="20"/>
              </w:rPr>
            </w:pPr>
            <w:r>
              <w:rPr>
                <w:rFonts w:hint="eastAsia" w:ascii="宋体" w:hAnsi="宋体" w:cs="宋体"/>
                <w:b/>
                <w:color w:val="000000"/>
                <w:kern w:val="0"/>
                <w:sz w:val="20"/>
                <w:szCs w:val="20"/>
                <w:lang w:bidi="ar"/>
              </w:rPr>
              <w:t>T3到达区域</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20"/>
                <w:szCs w:val="20"/>
              </w:rPr>
            </w:pPr>
          </w:p>
        </w:tc>
      </w:tr>
      <w:tr>
        <w:tblPrEx>
          <w:tblLayout w:type="fixed"/>
          <w:tblCellMar>
            <w:top w:w="15" w:type="dxa"/>
            <w:left w:w="15" w:type="dxa"/>
            <w:bottom w:w="15" w:type="dxa"/>
            <w:right w:w="15" w:type="dxa"/>
          </w:tblCellMar>
        </w:tblPrEx>
        <w:trPr>
          <w:trHeight w:val="9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自动扶梯转角处（2处）</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9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自动扶梯靠门口一侧（2处）</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超大H1.8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行李转盘</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红掌组合</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H0.8 P0.7</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9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长龙航空公司行李查询处旁</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金边螺纹铁</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H1.2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5</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行李查询台上</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蝴蝶兰组合</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高档花卉H0.8 P0.7</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7</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T1-T3连接处</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也门铁</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H1.0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120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到达夹层区域中指廊圆弧靠窗一侧</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P1.2</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14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9</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到达夹层区域中指廊平行扶梯靠窗一侧</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散尾葵</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H1.8 P1.5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10</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到达夹层区域中指廊平行扶梯边</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巴西美人</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H0.7 P0.6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144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12</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到达夹层区域北指廊平行扶梯靠窗一侧</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H1.2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13</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到达夹层区域北指廊平行扶梯边</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巴西美人</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H0.7 P0.6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14</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15</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到达夹层区域长指廊平行扶梯边（2处）</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巴西美人</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H0.7 P0.6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16</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17</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到达夹层区域长指廊靠窗一侧</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夏威夷椰子</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H1.5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18</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幸福树</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超大H3.50P2.0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19</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非洲茉莉</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P1.0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虎皮兰</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P1.0</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11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21</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棕竹</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大H1.5P0.6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9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22</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北指廊与长指廊连接中空区</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散尾葵</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超大H4.5 P1.5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23</w:t>
            </w:r>
          </w:p>
        </w:tc>
        <w:tc>
          <w:tcPr>
            <w:tcW w:w="13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监控室</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夏威夷椰子</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H1.5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24</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25</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袖珍椰子</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H0.7 P0.6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26</w:t>
            </w:r>
          </w:p>
        </w:tc>
        <w:tc>
          <w:tcPr>
            <w:tcW w:w="13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6"/>
                <w:szCs w:val="16"/>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大红掌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花卉H0.8 P0.75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27</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广播室</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绿萝</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大 H1.5 P0.6</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72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28</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广播值班室</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黄金葛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小H0.45P0.45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29</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B34出口通道</w:t>
            </w: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金边也门铁</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中 H0.8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20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合计</w:t>
            </w:r>
          </w:p>
        </w:tc>
        <w:tc>
          <w:tcPr>
            <w:tcW w:w="13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bl>
    <w:p>
      <w:pPr>
        <w:widowControl/>
        <w:adjustRightInd w:val="0"/>
        <w:snapToGrid w:val="0"/>
        <w:spacing w:before="120" w:beforeLines="50" w:line="360" w:lineRule="auto"/>
        <w:jc w:val="left"/>
        <w:rPr>
          <w:rFonts w:ascii="宋体" w:hAnsi="宋体" w:cs="宋体"/>
          <w:kern w:val="0"/>
          <w:sz w:val="22"/>
        </w:rPr>
      </w:pPr>
      <w:r>
        <w:rPr>
          <w:rFonts w:hint="eastAsia" w:ascii="宋体" w:hAnsi="宋体" w:cs="宋体"/>
          <w:kern w:val="0"/>
          <w:sz w:val="22"/>
        </w:rPr>
        <w:t>四、用于营造春节氛围的绿化租摆费用清单（摆放2个月）</w:t>
      </w:r>
    </w:p>
    <w:tbl>
      <w:tblPr>
        <w:tblStyle w:val="89"/>
        <w:tblW w:w="9819" w:type="dxa"/>
        <w:tblInd w:w="0" w:type="dxa"/>
        <w:tblLayout w:type="fixed"/>
        <w:tblCellMar>
          <w:top w:w="15" w:type="dxa"/>
          <w:left w:w="15" w:type="dxa"/>
          <w:bottom w:w="15" w:type="dxa"/>
          <w:right w:w="15" w:type="dxa"/>
        </w:tblCellMar>
      </w:tblPr>
      <w:tblGrid>
        <w:gridCol w:w="725"/>
        <w:gridCol w:w="1350"/>
        <w:gridCol w:w="1144"/>
        <w:gridCol w:w="1444"/>
        <w:gridCol w:w="1012"/>
        <w:gridCol w:w="900"/>
        <w:gridCol w:w="1144"/>
        <w:gridCol w:w="1181"/>
        <w:gridCol w:w="919"/>
      </w:tblGrid>
      <w:tr>
        <w:tblPrEx>
          <w:tblLayout w:type="fixed"/>
          <w:tblCellMar>
            <w:top w:w="15" w:type="dxa"/>
            <w:left w:w="15" w:type="dxa"/>
            <w:bottom w:w="15" w:type="dxa"/>
            <w:right w:w="15" w:type="dxa"/>
          </w:tblCellMar>
        </w:tblPrEx>
        <w:trPr>
          <w:trHeight w:val="474"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微软雅黑" w:hAnsi="微软雅黑" w:eastAsia="微软雅黑" w:cs="微软雅黑"/>
                <w:color w:val="000000"/>
                <w:kern w:val="0"/>
                <w:sz w:val="16"/>
                <w:szCs w:val="16"/>
                <w:lang w:bidi="ar"/>
              </w:rPr>
              <w:t>序号</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微软雅黑" w:hAnsi="微软雅黑" w:eastAsia="微软雅黑" w:cs="微软雅黑"/>
                <w:color w:val="000000"/>
                <w:kern w:val="0"/>
                <w:sz w:val="16"/>
                <w:szCs w:val="16"/>
                <w:lang w:bidi="ar"/>
              </w:rPr>
              <w:t>位置</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微软雅黑" w:hAnsi="微软雅黑" w:eastAsia="微软雅黑" w:cs="微软雅黑"/>
                <w:color w:val="000000"/>
                <w:kern w:val="0"/>
                <w:sz w:val="16"/>
                <w:szCs w:val="16"/>
                <w:lang w:bidi="ar"/>
              </w:rPr>
              <w:t>品种</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微软雅黑" w:hAnsi="微软雅黑" w:eastAsia="微软雅黑" w:cs="微软雅黑"/>
                <w:color w:val="000000"/>
                <w:kern w:val="0"/>
                <w:sz w:val="16"/>
                <w:szCs w:val="16"/>
                <w:lang w:bidi="ar"/>
              </w:rPr>
              <w:t>规格（M）</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微软雅黑" w:hAnsi="微软雅黑" w:eastAsia="微软雅黑" w:cs="微软雅黑"/>
                <w:color w:val="000000"/>
                <w:kern w:val="0"/>
                <w:sz w:val="16"/>
                <w:szCs w:val="16"/>
                <w:lang w:bidi="ar"/>
              </w:rPr>
              <w:t>数量（盆）</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微软雅黑" w:hAnsi="微软雅黑" w:eastAsia="微软雅黑" w:cs="微软雅黑"/>
                <w:color w:val="000000"/>
                <w:kern w:val="0"/>
                <w:sz w:val="16"/>
                <w:szCs w:val="16"/>
                <w:lang w:bidi="ar"/>
              </w:rPr>
              <w:t>花器供应</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日价</w:t>
            </w:r>
          </w:p>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（元/盆/天）</w:t>
            </w: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年价（按2个月计算）（元/年）</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备注</w:t>
            </w:r>
          </w:p>
        </w:tc>
      </w:tr>
      <w:tr>
        <w:tblPrEx>
          <w:tblLayout w:type="fixed"/>
          <w:tblCellMar>
            <w:top w:w="15" w:type="dxa"/>
            <w:left w:w="15" w:type="dxa"/>
            <w:bottom w:w="15" w:type="dxa"/>
            <w:right w:w="15" w:type="dxa"/>
          </w:tblCellMar>
        </w:tblPrEx>
        <w:trPr>
          <w:trHeight w:val="473"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宋体" w:hAnsi="宋体" w:cs="宋体"/>
                <w:color w:val="000000"/>
                <w:kern w:val="0"/>
                <w:sz w:val="16"/>
                <w:szCs w:val="16"/>
                <w:lang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微软雅黑" w:hAnsi="微软雅黑" w:eastAsia="微软雅黑" w:cs="微软雅黑"/>
                <w:color w:val="000000"/>
                <w:kern w:val="0"/>
                <w:sz w:val="16"/>
                <w:szCs w:val="16"/>
                <w:lang w:bidi="ar"/>
              </w:rPr>
              <w:t>T1安检口柱子两侧</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宋体" w:hAnsi="宋体" w:cs="宋体"/>
                <w:color w:val="000000"/>
                <w:kern w:val="0"/>
                <w:sz w:val="16"/>
                <w:szCs w:val="16"/>
                <w:lang w:bidi="ar"/>
              </w:rPr>
              <w:t>大花蕙兰组合</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宋体" w:hAnsi="宋体" w:cs="宋体"/>
                <w:color w:val="000000"/>
                <w:kern w:val="0"/>
                <w:sz w:val="16"/>
                <w:szCs w:val="16"/>
                <w:lang w:bidi="ar"/>
              </w:rPr>
              <w:t>H1.0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宋体" w:hAnsi="宋体" w:cs="宋体"/>
                <w:color w:val="000000"/>
                <w:kern w:val="0"/>
                <w:sz w:val="16"/>
                <w:szCs w:val="16"/>
                <w:lang w:bidi="ar"/>
              </w:rPr>
              <w:t>16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微软雅黑" w:hAnsi="微软雅黑" w:eastAsia="微软雅黑" w:cs="微软雅黑"/>
                <w:color w:val="000000"/>
                <w:kern w:val="0"/>
                <w:sz w:val="16"/>
                <w:szCs w:val="16"/>
                <w:lang w:bidi="ar"/>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T2航站楼2楼边检两侧</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大花蕙兰组合</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H1.0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T2航站楼1楼到达出口</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大花蕙兰组合</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H1.0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T2航站楼1楼到达出口</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杜鹃</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H0.7 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10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T3航站楼大厅安检外柱子边</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大花蕙兰组合</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H1.0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T3航站楼大厅安检外柱子边</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杜鹃</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H0.7 P0.45</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24</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T3航站楼大厅安检外侧护栏边</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大花蕙兰</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H1.0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16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T3航站楼1楼到达出口</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大花蕙兰</w:t>
            </w: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H1.0 P0.8</w:t>
            </w: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8</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r>
        <w:tblPrEx>
          <w:tblLayout w:type="fixed"/>
          <w:tblCellMar>
            <w:top w:w="15" w:type="dxa"/>
            <w:left w:w="15" w:type="dxa"/>
            <w:bottom w:w="15" w:type="dxa"/>
            <w:right w:w="15" w:type="dxa"/>
          </w:tblCellMar>
        </w:tblPrEx>
        <w:trPr>
          <w:trHeight w:val="480"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r>
              <w:rPr>
                <w:rFonts w:hint="eastAsia" w:ascii="宋体" w:hAnsi="宋体" w:cs="宋体"/>
                <w:color w:val="000000"/>
                <w:kern w:val="0"/>
                <w:sz w:val="16"/>
                <w:szCs w:val="16"/>
                <w:lang w:bidi="ar"/>
              </w:rPr>
              <w:t>合计</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4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0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118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kern w:val="0"/>
                <w:sz w:val="16"/>
                <w:szCs w:val="16"/>
                <w:lang w:bidi="ar"/>
              </w:rPr>
            </w:pPr>
          </w:p>
        </w:tc>
      </w:tr>
    </w:tbl>
    <w:p>
      <w:pPr>
        <w:spacing w:line="360" w:lineRule="auto"/>
        <w:rPr>
          <w:rFonts w:ascii="宋体" w:hAnsi="宋体" w:cs="宋体"/>
          <w:bCs/>
          <w:sz w:val="24"/>
          <w:szCs w:val="24"/>
        </w:rPr>
      </w:pPr>
    </w:p>
    <w:p>
      <w:pPr>
        <w:pStyle w:val="2"/>
        <w:ind w:firstLine="240"/>
        <w:rPr>
          <w:rFonts w:ascii="宋体" w:hAnsi="宋体" w:cs="宋体"/>
          <w:bCs/>
          <w:sz w:val="24"/>
        </w:rPr>
      </w:pPr>
    </w:p>
    <w:p>
      <w:pPr>
        <w:pStyle w:val="2"/>
        <w:ind w:firstLine="240"/>
        <w:rPr>
          <w:rFonts w:ascii="宋体" w:hAnsi="宋体" w:cs="宋体"/>
          <w:bCs/>
          <w:sz w:val="24"/>
        </w:rPr>
      </w:pPr>
    </w:p>
    <w:p>
      <w:pPr>
        <w:spacing w:line="360" w:lineRule="auto"/>
        <w:rPr>
          <w:rFonts w:ascii="宋体" w:hAnsi="宋体" w:cs="宋体"/>
          <w:sz w:val="24"/>
          <w:szCs w:val="24"/>
        </w:rPr>
      </w:pPr>
      <w:r>
        <w:rPr>
          <w:rFonts w:hint="eastAsia" w:ascii="宋体" w:hAnsi="宋体" w:cs="宋体"/>
          <w:bCs/>
          <w:sz w:val="24"/>
          <w:szCs w:val="24"/>
        </w:rPr>
        <w:t xml:space="preserve">                                   </w:t>
      </w:r>
      <w:r>
        <w:rPr>
          <w:rFonts w:hint="eastAsia" w:ascii="宋体" w:hAnsi="宋体" w:cs="宋体"/>
          <w:sz w:val="24"/>
          <w:szCs w:val="24"/>
        </w:rPr>
        <w:t>投标单位：            （盖章）</w:t>
      </w:r>
    </w:p>
    <w:p>
      <w:pPr>
        <w:spacing w:line="360" w:lineRule="auto"/>
        <w:ind w:firstLine="4200"/>
        <w:rPr>
          <w:rFonts w:ascii="宋体" w:hAnsi="宋体" w:cs="宋体"/>
          <w:sz w:val="24"/>
          <w:szCs w:val="24"/>
        </w:rPr>
      </w:pPr>
      <w:r>
        <w:rPr>
          <w:rFonts w:hint="eastAsia" w:ascii="宋体" w:hAnsi="宋体" w:cs="宋体"/>
          <w:sz w:val="24"/>
          <w:szCs w:val="24"/>
        </w:rPr>
        <w:t>法定代表人：          （签字或盖章）</w:t>
      </w:r>
    </w:p>
    <w:p>
      <w:pPr>
        <w:spacing w:line="360" w:lineRule="auto"/>
        <w:ind w:firstLine="4200"/>
        <w:rPr>
          <w:rFonts w:ascii="宋体" w:hAnsi="宋体" w:cs="宋体"/>
          <w:sz w:val="24"/>
          <w:szCs w:val="24"/>
        </w:rPr>
        <w:sectPr>
          <w:headerReference r:id="rId15" w:type="default"/>
          <w:pgSz w:w="11906" w:h="16838"/>
          <w:pgMar w:top="624" w:right="924" w:bottom="777" w:left="1259" w:header="851" w:footer="992" w:gutter="0"/>
          <w:cols w:space="720" w:num="1"/>
          <w:docGrid w:linePitch="312" w:charSpace="0"/>
        </w:sectPr>
      </w:pPr>
      <w:r>
        <w:rPr>
          <w:rFonts w:hint="eastAsia" w:ascii="宋体" w:hAnsi="宋体" w:cs="宋体"/>
          <w:sz w:val="24"/>
          <w:szCs w:val="24"/>
        </w:rPr>
        <w:t>日期</w:t>
      </w:r>
    </w:p>
    <w:p>
      <w:pPr>
        <w:pStyle w:val="57"/>
        <w:spacing w:line="360" w:lineRule="auto"/>
        <w:jc w:val="center"/>
        <w:rPr>
          <w:rFonts w:ascii="宋体" w:hAnsi="宋体" w:cs="宋体"/>
          <w:b/>
          <w:sz w:val="32"/>
          <w:szCs w:val="32"/>
        </w:rPr>
        <w:sectPr>
          <w:headerReference r:id="rId16" w:type="default"/>
          <w:pgSz w:w="11907" w:h="16840"/>
          <w:pgMar w:top="1191" w:right="1191" w:bottom="1191" w:left="1191" w:header="567" w:footer="720" w:gutter="227"/>
          <w:pgNumType w:fmt="numberInDash"/>
          <w:cols w:space="720" w:num="1"/>
        </w:sectPr>
      </w:pPr>
      <w:r>
        <w:rPr>
          <w:rFonts w:hint="eastAsia" w:ascii="宋体" w:hAnsi="宋体" w:cs="宋体"/>
          <w:b/>
          <w:sz w:val="32"/>
          <w:szCs w:val="32"/>
        </w:rPr>
        <w:t>固定及节假日花堆植物费用清单</w:t>
      </w:r>
    </w:p>
    <w:bookmarkEnd w:id="33"/>
    <w:bookmarkEnd w:id="34"/>
    <w:bookmarkEnd w:id="35"/>
    <w:bookmarkEnd w:id="36"/>
    <w:p>
      <w:pPr>
        <w:pStyle w:val="57"/>
        <w:spacing w:line="360" w:lineRule="auto"/>
        <w:jc w:val="center"/>
        <w:rPr>
          <w:rFonts w:ascii="宋体" w:hAnsi="宋体" w:cs="宋体"/>
          <w:b/>
          <w:sz w:val="32"/>
          <w:szCs w:val="32"/>
        </w:rPr>
        <w:sectPr>
          <w:footerReference r:id="rId17" w:type="default"/>
          <w:pgSz w:w="12240" w:h="15840"/>
          <w:pgMar w:top="1500" w:right="1580" w:bottom="1120" w:left="1700" w:header="0" w:footer="921" w:gutter="0"/>
          <w:cols w:space="720" w:num="1"/>
        </w:sectPr>
      </w:pPr>
      <w:r>
        <w:rPr>
          <w:rFonts w:hint="eastAsia" w:ascii="宋体" w:hAnsi="宋体" w:cs="宋体"/>
          <w:b/>
          <w:sz w:val="32"/>
          <w:szCs w:val="32"/>
        </w:rPr>
        <w:t xml:space="preserve"> T1内庭院养护费用清单</w:t>
      </w:r>
    </w:p>
    <w:p>
      <w:pPr>
        <w:autoSpaceDE w:val="0"/>
        <w:autoSpaceDN w:val="0"/>
        <w:adjustRightInd w:val="0"/>
        <w:spacing w:line="360" w:lineRule="auto"/>
        <w:jc w:val="center"/>
        <w:outlineLvl w:val="1"/>
        <w:rPr>
          <w:rFonts w:ascii="宋体" w:hAnsi="宋体" w:cs="宋体"/>
          <w:b/>
          <w:sz w:val="32"/>
          <w:szCs w:val="32"/>
        </w:rPr>
      </w:pPr>
      <w:r>
        <w:rPr>
          <w:rFonts w:hint="eastAsia" w:ascii="宋体" w:hAnsi="宋体" w:cs="宋体"/>
          <w:b/>
          <w:sz w:val="32"/>
          <w:szCs w:val="32"/>
        </w:rPr>
        <w:t>五、资格审查资料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人</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服务工人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其他人员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20" w:type="first"/>
          <w:headerReference r:id="rId18" w:type="default"/>
          <w:headerReference r:id="rId19"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日起至投标截止日止）无行贿犯罪记录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（八）近3年财务状况表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（九）近3年（合同签订时间或部分服务期在2016年1月1日至投标截止日期间）完成的类似项目情况表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numPr>
          <w:ilvl w:val="0"/>
          <w:numId w:val="38"/>
        </w:numPr>
        <w:autoSpaceDE w:val="0"/>
        <w:autoSpaceDN w:val="0"/>
        <w:adjustRightInd w:val="0"/>
        <w:spacing w:line="360" w:lineRule="auto"/>
        <w:jc w:val="center"/>
        <w:outlineLvl w:val="1"/>
        <w:rPr>
          <w:rFonts w:ascii="宋体" w:hAnsi="宋体" w:cs="宋体"/>
          <w:b/>
          <w:sz w:val="32"/>
          <w:szCs w:val="32"/>
        </w:rPr>
      </w:pPr>
      <w:r>
        <w:rPr>
          <w:rFonts w:hint="eastAsia" w:ascii="宋体" w:hAnsi="宋体" w:cs="宋体"/>
          <w:b/>
          <w:sz w:val="32"/>
          <w:szCs w:val="32"/>
        </w:rPr>
        <w:t>服务大纲和技术方案</w:t>
      </w: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⑧投入到本项目的项目经理、其他人员的情况汇总表及业绩、经历、能力介绍、资格证明材料及人员到位率的承诺；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⑨投入本项目服务的仪器、仪表、设备及交通工具汇总表。技术参数、结构及性能特点等产品技术规格书。</w:t>
      </w:r>
    </w:p>
    <w:p>
      <w:pPr>
        <w:pStyle w:val="2"/>
        <w:ind w:firstLine="630" w:firstLineChars="300"/>
      </w:pPr>
      <w:r>
        <w:rPr>
          <w:rFonts w:hint="eastAsia" w:ascii="宋体" w:hAnsi="宋体" w:cs="宋体"/>
        </w:rPr>
        <w:t>⑩</w:t>
      </w:r>
      <w:r>
        <w:rPr>
          <w:rFonts w:hint="eastAsia" w:ascii="宋体" w:hAnsi="宋体" w:cs="宋体"/>
          <w:color w:val="000000"/>
          <w:sz w:val="22"/>
        </w:rPr>
        <w:t>花堆设计方案，附33套效果图。</w:t>
      </w:r>
    </w:p>
    <w:p>
      <w:pPr>
        <w:rPr>
          <w:rFonts w:ascii="宋体" w:hAnsi="宋体" w:cs="宋体"/>
          <w:b/>
          <w:sz w:val="32"/>
          <w:szCs w:val="32"/>
        </w:rPr>
      </w:pPr>
    </w:p>
    <w:p>
      <w:pPr>
        <w:rPr>
          <w:rFonts w:ascii="宋体" w:hAnsi="宋体" w:cs="宋体"/>
          <w:b/>
          <w:sz w:val="32"/>
          <w:szCs w:val="32"/>
        </w:rPr>
      </w:pPr>
      <w:r>
        <w:rPr>
          <w:rFonts w:hint="eastAsia" w:ascii="宋体" w:hAnsi="宋体" w:cs="宋体"/>
          <w:b/>
          <w:sz w:val="32"/>
          <w:szCs w:val="32"/>
        </w:rPr>
        <w:br w:type="page"/>
      </w:r>
    </w:p>
    <w:p>
      <w:pPr>
        <w:pStyle w:val="539"/>
        <w:jc w:val="center"/>
        <w:outlineLvl w:val="2"/>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pStyle w:val="539"/>
        <w:jc w:val="center"/>
        <w:outlineLvl w:val="2"/>
        <w:rPr>
          <w:rFonts w:ascii="宋体" w:hAnsi="宋体" w:cs="宋体"/>
          <w:b/>
          <w:sz w:val="30"/>
          <w:szCs w:val="30"/>
        </w:rPr>
      </w:pPr>
      <w:r>
        <w:rPr>
          <w:rFonts w:hint="eastAsia" w:ascii="宋体" w:hAnsi="宋体" w:cs="宋体"/>
          <w:b/>
          <w:sz w:val="30"/>
          <w:szCs w:val="30"/>
        </w:rPr>
        <w:t>项目经理简介</w:t>
      </w:r>
    </w:p>
    <w:tbl>
      <w:tblPr>
        <w:tblStyle w:val="89"/>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outlineLvl w:val="2"/>
        <w:rPr>
          <w:rFonts w:ascii="宋体" w:hAnsi="宋体" w:cs="宋体"/>
          <w:b/>
          <w:sz w:val="30"/>
          <w:szCs w:val="30"/>
        </w:rPr>
      </w:pPr>
      <w:bookmarkStart w:id="37" w:name="_Toc468109256"/>
      <w:r>
        <w:rPr>
          <w:rFonts w:hint="eastAsia" w:ascii="宋体" w:hAnsi="宋体" w:cs="宋体"/>
          <w:b/>
          <w:sz w:val="30"/>
          <w:szCs w:val="30"/>
        </w:rPr>
        <w:t>投入盆花摆放的主要设备表</w:t>
      </w:r>
      <w:bookmarkEnd w:id="37"/>
    </w:p>
    <w:p>
      <w:pPr>
        <w:spacing w:line="360" w:lineRule="auto"/>
        <w:ind w:left="1121" w:leftChars="267" w:hanging="560" w:hangingChars="200"/>
        <w:rPr>
          <w:rFonts w:ascii="宋体" w:hAnsi="宋体"/>
          <w:sz w:val="28"/>
        </w:rPr>
      </w:pPr>
      <w:r>
        <w:rPr>
          <w:rFonts w:hint="eastAsia" w:ascii="宋体" w:hAnsi="宋体"/>
          <w:sz w:val="28"/>
        </w:rPr>
        <w:t>项目名称:</w:t>
      </w:r>
    </w:p>
    <w:tbl>
      <w:tblPr>
        <w:tblStyle w:val="89"/>
        <w:tblW w:w="8717" w:type="dxa"/>
        <w:tblInd w:w="52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16"/>
        <w:gridCol w:w="1948"/>
        <w:gridCol w:w="1913"/>
        <w:gridCol w:w="1275"/>
        <w:gridCol w:w="1477"/>
        <w:gridCol w:w="128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0" w:hRule="atLeast"/>
        </w:trPr>
        <w:tc>
          <w:tcPr>
            <w:tcW w:w="816"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rPr>
            </w:pPr>
            <w:r>
              <w:rPr>
                <w:rFonts w:hint="eastAsia" w:ascii="宋体" w:hAnsi="宋体"/>
                <w:sz w:val="28"/>
              </w:rPr>
              <w:t>序号</w:t>
            </w:r>
          </w:p>
        </w:tc>
        <w:tc>
          <w:tcPr>
            <w:tcW w:w="194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rPr>
            </w:pPr>
            <w:r>
              <w:rPr>
                <w:rFonts w:hint="eastAsia" w:ascii="宋体" w:hAnsi="宋体"/>
                <w:sz w:val="28"/>
              </w:rPr>
              <w:t>养护设备名称</w:t>
            </w:r>
          </w:p>
        </w:tc>
        <w:tc>
          <w:tcPr>
            <w:tcW w:w="1913"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rPr>
            </w:pPr>
            <w:r>
              <w:rPr>
                <w:rFonts w:hint="eastAsia" w:ascii="宋体" w:hAnsi="宋体"/>
                <w:sz w:val="28"/>
              </w:rPr>
              <w:t>规格型号、</w:t>
            </w:r>
          </w:p>
          <w:p>
            <w:pPr>
              <w:spacing w:line="360" w:lineRule="auto"/>
              <w:jc w:val="center"/>
              <w:rPr>
                <w:rFonts w:ascii="宋体" w:hAnsi="宋体"/>
                <w:sz w:val="28"/>
              </w:rPr>
            </w:pPr>
            <w:r>
              <w:rPr>
                <w:rFonts w:hint="eastAsia" w:ascii="宋体" w:hAnsi="宋体"/>
                <w:sz w:val="28"/>
              </w:rPr>
              <w:t>额定功率</w:t>
            </w:r>
            <w:r>
              <w:rPr>
                <w:rFonts w:hint="eastAsia" w:ascii="宋体" w:hAnsi="宋体"/>
                <w:sz w:val="18"/>
              </w:rPr>
              <w:t>（</w:t>
            </w:r>
            <w:r>
              <w:rPr>
                <w:rFonts w:ascii="宋体" w:hAnsi="宋体"/>
                <w:sz w:val="18"/>
              </w:rPr>
              <w:t>KW</w:t>
            </w:r>
            <w:r>
              <w:rPr>
                <w:rFonts w:hint="eastAsia" w:ascii="宋体" w:hAnsi="宋体"/>
                <w:sz w:val="18"/>
              </w:rPr>
              <w:t>）</w:t>
            </w:r>
          </w:p>
        </w:tc>
        <w:tc>
          <w:tcPr>
            <w:tcW w:w="2752"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rPr>
            </w:pPr>
            <w:r>
              <w:rPr>
                <w:rFonts w:hint="eastAsia" w:ascii="宋体" w:hAnsi="宋体"/>
                <w:sz w:val="28"/>
              </w:rPr>
              <w:t>数量</w:t>
            </w:r>
          </w:p>
        </w:tc>
        <w:tc>
          <w:tcPr>
            <w:tcW w:w="12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rPr>
            </w:pPr>
            <w:r>
              <w:rPr>
                <w:rFonts w:hint="eastAsia" w:ascii="宋体" w:hAnsi="宋体"/>
                <w:sz w:val="28"/>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620" w:hRule="atLeast"/>
        </w:trPr>
        <w:tc>
          <w:tcPr>
            <w:tcW w:w="81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 w:val="28"/>
              </w:rPr>
            </w:pPr>
          </w:p>
        </w:tc>
        <w:tc>
          <w:tcPr>
            <w:tcW w:w="194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 w:val="28"/>
              </w:rPr>
            </w:pPr>
          </w:p>
        </w:tc>
        <w:tc>
          <w:tcPr>
            <w:tcW w:w="191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sz w:val="28"/>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rPr>
            </w:pPr>
            <w:r>
              <w:rPr>
                <w:rFonts w:hint="eastAsia" w:ascii="宋体" w:hAnsi="宋体"/>
                <w:sz w:val="28"/>
              </w:rPr>
              <w:t>自备</w:t>
            </w:r>
          </w:p>
        </w:tc>
        <w:tc>
          <w:tcPr>
            <w:tcW w:w="14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rPr>
            </w:pPr>
            <w:r>
              <w:rPr>
                <w:rFonts w:hint="eastAsia" w:ascii="宋体" w:hAnsi="宋体"/>
                <w:sz w:val="28"/>
              </w:rPr>
              <w:t>租赁</w:t>
            </w:r>
          </w:p>
        </w:tc>
        <w:tc>
          <w:tcPr>
            <w:tcW w:w="12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rPr>
            </w:pPr>
          </w:p>
        </w:tc>
        <w:tc>
          <w:tcPr>
            <w:tcW w:w="19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rPr>
            </w:pPr>
          </w:p>
        </w:tc>
        <w:tc>
          <w:tcPr>
            <w:tcW w:w="191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rPr>
            </w:pPr>
          </w:p>
        </w:tc>
        <w:tc>
          <w:tcPr>
            <w:tcW w:w="14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rPr>
            </w:pPr>
          </w:p>
        </w:tc>
        <w:tc>
          <w:tcPr>
            <w:tcW w:w="12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rPr>
            </w:pPr>
          </w:p>
        </w:tc>
        <w:tc>
          <w:tcPr>
            <w:tcW w:w="19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rPr>
            </w:pPr>
          </w:p>
        </w:tc>
        <w:tc>
          <w:tcPr>
            <w:tcW w:w="191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rPr>
            </w:pPr>
          </w:p>
        </w:tc>
        <w:tc>
          <w:tcPr>
            <w:tcW w:w="14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rPr>
            </w:pPr>
          </w:p>
        </w:tc>
        <w:tc>
          <w:tcPr>
            <w:tcW w:w="128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 w:val="28"/>
              </w:rPr>
            </w:pPr>
          </w:p>
        </w:tc>
      </w:tr>
    </w:tbl>
    <w:p>
      <w:pPr>
        <w:spacing w:line="360" w:lineRule="auto"/>
        <w:ind w:firstLine="480" w:firstLineChars="200"/>
        <w:rPr>
          <w:rFonts w:ascii="宋体" w:hAnsi="宋体"/>
          <w:sz w:val="24"/>
          <w:szCs w:val="28"/>
        </w:rPr>
      </w:pPr>
    </w:p>
    <w:p>
      <w:pPr>
        <w:rPr>
          <w:rFonts w:ascii="宋体" w:hAnsi="宋体" w:cs="宋体"/>
          <w:b/>
          <w:sz w:val="30"/>
          <w:szCs w:val="30"/>
        </w:rPr>
      </w:pPr>
      <w:r>
        <w:rPr>
          <w:rFonts w:hint="eastAsia" w:ascii="宋体" w:hAnsi="宋体" w:cs="宋体"/>
          <w:b/>
          <w:sz w:val="30"/>
          <w:szCs w:val="30"/>
        </w:rPr>
        <w:br w:type="page"/>
      </w:r>
    </w:p>
    <w:p>
      <w:pPr>
        <w:pStyle w:val="539"/>
        <w:jc w:val="center"/>
        <w:outlineLvl w:val="2"/>
        <w:rPr>
          <w:rFonts w:ascii="宋体" w:hAnsi="宋体" w:cs="宋体"/>
          <w:b/>
          <w:sz w:val="30"/>
          <w:szCs w:val="30"/>
        </w:rPr>
      </w:pPr>
      <w:bookmarkStart w:id="38" w:name="_Toc468109261"/>
      <w:r>
        <w:rPr>
          <w:rFonts w:hint="eastAsia" w:ascii="宋体" w:hAnsi="宋体" w:cs="宋体"/>
          <w:b/>
          <w:sz w:val="30"/>
          <w:szCs w:val="30"/>
        </w:rPr>
        <w:t>自备苗圃等场地情况</w:t>
      </w:r>
      <w:bookmarkEnd w:id="38"/>
    </w:p>
    <w:p>
      <w:pPr>
        <w:spacing w:line="360" w:lineRule="auto"/>
        <w:rPr>
          <w:rFonts w:ascii="宋体" w:hAnsi="宋体"/>
          <w:b/>
          <w:sz w:val="28"/>
          <w:szCs w:val="28"/>
        </w:rPr>
      </w:pPr>
    </w:p>
    <w:tbl>
      <w:tblPr>
        <w:tblStyle w:val="89"/>
        <w:tblW w:w="99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418"/>
        <w:gridCol w:w="1701"/>
        <w:gridCol w:w="1417"/>
        <w:gridCol w:w="2595"/>
        <w:gridCol w:w="1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spacing w:line="360" w:lineRule="auto"/>
              <w:rPr>
                <w:rFonts w:ascii="宋体" w:hAnsi="宋体"/>
                <w:b/>
                <w:sz w:val="28"/>
                <w:szCs w:val="28"/>
              </w:rPr>
            </w:pPr>
            <w:r>
              <w:rPr>
                <w:rFonts w:hint="eastAsia" w:ascii="宋体" w:hAnsi="宋体"/>
                <w:b/>
                <w:sz w:val="28"/>
                <w:szCs w:val="28"/>
              </w:rPr>
              <w:t>序号</w:t>
            </w:r>
          </w:p>
        </w:tc>
        <w:tc>
          <w:tcPr>
            <w:tcW w:w="3119" w:type="dxa"/>
            <w:gridSpan w:val="2"/>
            <w:vAlign w:val="center"/>
          </w:tcPr>
          <w:p>
            <w:pPr>
              <w:rPr>
                <w:rFonts w:ascii="宋体" w:hAnsi="宋体"/>
                <w:b/>
                <w:sz w:val="28"/>
                <w:szCs w:val="28"/>
              </w:rPr>
            </w:pPr>
            <w:r>
              <w:rPr>
                <w:rFonts w:hint="eastAsia" w:ascii="宋体" w:hAnsi="宋体"/>
                <w:b/>
                <w:sz w:val="28"/>
                <w:szCs w:val="28"/>
              </w:rPr>
              <w:t>项目名称</w:t>
            </w:r>
          </w:p>
        </w:tc>
        <w:tc>
          <w:tcPr>
            <w:tcW w:w="1417" w:type="dxa"/>
          </w:tcPr>
          <w:p>
            <w:pPr>
              <w:spacing w:line="360" w:lineRule="auto"/>
              <w:rPr>
                <w:rFonts w:ascii="宋体" w:hAnsi="宋体"/>
                <w:b/>
                <w:sz w:val="28"/>
                <w:szCs w:val="28"/>
              </w:rPr>
            </w:pPr>
            <w:r>
              <w:rPr>
                <w:rFonts w:hint="eastAsia" w:ascii="宋体" w:hAnsi="宋体"/>
                <w:b/>
                <w:sz w:val="28"/>
                <w:szCs w:val="28"/>
              </w:rPr>
              <w:t>面积（平方米）</w:t>
            </w:r>
          </w:p>
        </w:tc>
        <w:tc>
          <w:tcPr>
            <w:tcW w:w="2595" w:type="dxa"/>
          </w:tcPr>
          <w:p>
            <w:pPr>
              <w:spacing w:line="360" w:lineRule="auto"/>
              <w:rPr>
                <w:rFonts w:ascii="宋体" w:hAnsi="宋体"/>
                <w:b/>
                <w:sz w:val="28"/>
                <w:szCs w:val="28"/>
              </w:rPr>
            </w:pPr>
            <w:r>
              <w:rPr>
                <w:rFonts w:hint="eastAsia" w:ascii="宋体" w:hAnsi="宋体"/>
                <w:b/>
                <w:sz w:val="28"/>
                <w:szCs w:val="28"/>
              </w:rPr>
              <w:t>与杭州萧山国际机场距离（KM）</w:t>
            </w:r>
          </w:p>
        </w:tc>
        <w:tc>
          <w:tcPr>
            <w:tcW w:w="1988" w:type="dxa"/>
          </w:tcPr>
          <w:p>
            <w:pPr>
              <w:spacing w:line="360" w:lineRule="auto"/>
              <w:rPr>
                <w:rFonts w:ascii="宋体" w:hAnsi="宋体"/>
                <w:b/>
                <w:sz w:val="28"/>
                <w:szCs w:val="28"/>
              </w:rPr>
            </w:pPr>
            <w:r>
              <w:rPr>
                <w:rFonts w:hint="eastAsia" w:ascii="宋体" w:hAnsi="宋体"/>
                <w:b/>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spacing w:line="360" w:lineRule="auto"/>
              <w:rPr>
                <w:rFonts w:ascii="宋体" w:hAnsi="宋体"/>
                <w:b/>
                <w:sz w:val="28"/>
                <w:szCs w:val="28"/>
              </w:rPr>
            </w:pPr>
            <w:r>
              <w:rPr>
                <w:rFonts w:ascii="宋体" w:hAnsi="宋体"/>
                <w:b/>
                <w:sz w:val="28"/>
                <w:szCs w:val="28"/>
              </w:rPr>
              <w:t>1</w:t>
            </w:r>
          </w:p>
        </w:tc>
        <w:tc>
          <w:tcPr>
            <w:tcW w:w="1418" w:type="dxa"/>
            <w:vMerge w:val="restart"/>
          </w:tcPr>
          <w:p>
            <w:pPr>
              <w:spacing w:line="360" w:lineRule="auto"/>
              <w:rPr>
                <w:rFonts w:ascii="宋体" w:hAnsi="宋体"/>
                <w:b/>
                <w:sz w:val="28"/>
                <w:szCs w:val="28"/>
              </w:rPr>
            </w:pPr>
            <w:r>
              <w:rPr>
                <w:rFonts w:hint="eastAsia" w:ascii="宋体" w:hAnsi="宋体"/>
                <w:b/>
                <w:sz w:val="28"/>
                <w:szCs w:val="28"/>
              </w:rPr>
              <w:t>自备苗圃</w:t>
            </w:r>
          </w:p>
        </w:tc>
        <w:tc>
          <w:tcPr>
            <w:tcW w:w="1701" w:type="dxa"/>
          </w:tcPr>
          <w:p>
            <w:pPr>
              <w:spacing w:line="360" w:lineRule="auto"/>
              <w:rPr>
                <w:rFonts w:ascii="宋体" w:hAnsi="宋体"/>
                <w:b/>
                <w:sz w:val="28"/>
                <w:szCs w:val="28"/>
              </w:rPr>
            </w:pPr>
          </w:p>
        </w:tc>
        <w:tc>
          <w:tcPr>
            <w:tcW w:w="1417" w:type="dxa"/>
          </w:tcPr>
          <w:p>
            <w:pPr>
              <w:spacing w:line="360" w:lineRule="auto"/>
              <w:rPr>
                <w:rFonts w:ascii="宋体" w:hAnsi="宋体"/>
                <w:b/>
                <w:sz w:val="28"/>
                <w:szCs w:val="28"/>
              </w:rPr>
            </w:pPr>
          </w:p>
        </w:tc>
        <w:tc>
          <w:tcPr>
            <w:tcW w:w="2595" w:type="dxa"/>
          </w:tcPr>
          <w:p>
            <w:pPr>
              <w:spacing w:line="360" w:lineRule="auto"/>
              <w:rPr>
                <w:rFonts w:ascii="宋体" w:hAnsi="宋体"/>
                <w:b/>
                <w:sz w:val="28"/>
                <w:szCs w:val="28"/>
              </w:rPr>
            </w:pPr>
          </w:p>
        </w:tc>
        <w:tc>
          <w:tcPr>
            <w:tcW w:w="1988" w:type="dxa"/>
          </w:tcPr>
          <w:p>
            <w:pPr>
              <w:spacing w:line="360" w:lineRule="auto"/>
              <w:rPr>
                <w:rFonts w:ascii="宋体" w:hAnsi="宋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spacing w:line="360" w:lineRule="auto"/>
              <w:rPr>
                <w:rFonts w:ascii="宋体" w:hAnsi="宋体"/>
                <w:b/>
                <w:sz w:val="28"/>
                <w:szCs w:val="28"/>
              </w:rPr>
            </w:pPr>
            <w:r>
              <w:rPr>
                <w:rFonts w:ascii="宋体" w:hAnsi="宋体"/>
                <w:b/>
                <w:sz w:val="28"/>
                <w:szCs w:val="28"/>
              </w:rPr>
              <w:t>2</w:t>
            </w:r>
          </w:p>
        </w:tc>
        <w:tc>
          <w:tcPr>
            <w:tcW w:w="1418" w:type="dxa"/>
            <w:vMerge w:val="continue"/>
          </w:tcPr>
          <w:p>
            <w:pPr>
              <w:spacing w:line="360" w:lineRule="auto"/>
              <w:rPr>
                <w:rFonts w:ascii="宋体" w:hAnsi="宋体"/>
                <w:b/>
                <w:sz w:val="28"/>
                <w:szCs w:val="28"/>
              </w:rPr>
            </w:pPr>
          </w:p>
        </w:tc>
        <w:tc>
          <w:tcPr>
            <w:tcW w:w="1701" w:type="dxa"/>
          </w:tcPr>
          <w:p>
            <w:pPr>
              <w:spacing w:line="360" w:lineRule="auto"/>
              <w:rPr>
                <w:rFonts w:ascii="宋体" w:hAnsi="宋体"/>
                <w:b/>
                <w:sz w:val="28"/>
                <w:szCs w:val="28"/>
              </w:rPr>
            </w:pPr>
          </w:p>
        </w:tc>
        <w:tc>
          <w:tcPr>
            <w:tcW w:w="1417" w:type="dxa"/>
          </w:tcPr>
          <w:p>
            <w:pPr>
              <w:spacing w:line="360" w:lineRule="auto"/>
              <w:rPr>
                <w:rFonts w:ascii="宋体" w:hAnsi="宋体"/>
                <w:b/>
                <w:sz w:val="28"/>
                <w:szCs w:val="28"/>
              </w:rPr>
            </w:pPr>
          </w:p>
        </w:tc>
        <w:tc>
          <w:tcPr>
            <w:tcW w:w="2595" w:type="dxa"/>
          </w:tcPr>
          <w:p>
            <w:pPr>
              <w:spacing w:line="360" w:lineRule="auto"/>
              <w:rPr>
                <w:rFonts w:ascii="宋体" w:hAnsi="宋体"/>
                <w:b/>
                <w:sz w:val="28"/>
                <w:szCs w:val="28"/>
              </w:rPr>
            </w:pPr>
          </w:p>
        </w:tc>
        <w:tc>
          <w:tcPr>
            <w:tcW w:w="1988" w:type="dxa"/>
          </w:tcPr>
          <w:p>
            <w:pPr>
              <w:spacing w:line="360" w:lineRule="auto"/>
              <w:rPr>
                <w:rFonts w:ascii="宋体" w:hAnsi="宋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spacing w:line="360" w:lineRule="auto"/>
              <w:rPr>
                <w:rFonts w:ascii="宋体" w:hAnsi="宋体"/>
                <w:b/>
                <w:sz w:val="28"/>
                <w:szCs w:val="28"/>
              </w:rPr>
            </w:pPr>
            <w:r>
              <w:rPr>
                <w:rFonts w:ascii="宋体" w:hAnsi="宋体"/>
                <w:b/>
                <w:sz w:val="28"/>
                <w:szCs w:val="28"/>
              </w:rPr>
              <w:t>3</w:t>
            </w:r>
          </w:p>
        </w:tc>
        <w:tc>
          <w:tcPr>
            <w:tcW w:w="1418" w:type="dxa"/>
            <w:vMerge w:val="restart"/>
          </w:tcPr>
          <w:p>
            <w:pPr>
              <w:spacing w:line="360" w:lineRule="auto"/>
              <w:rPr>
                <w:rFonts w:ascii="宋体" w:hAnsi="宋体"/>
                <w:b/>
                <w:sz w:val="28"/>
                <w:szCs w:val="28"/>
              </w:rPr>
            </w:pPr>
            <w:r>
              <w:rPr>
                <w:rFonts w:hint="eastAsia" w:ascii="宋体" w:hAnsi="宋体"/>
                <w:b/>
                <w:sz w:val="28"/>
                <w:szCs w:val="28"/>
              </w:rPr>
              <w:t>遮荫大棚</w:t>
            </w:r>
          </w:p>
        </w:tc>
        <w:tc>
          <w:tcPr>
            <w:tcW w:w="1701" w:type="dxa"/>
          </w:tcPr>
          <w:p>
            <w:pPr>
              <w:spacing w:line="360" w:lineRule="auto"/>
              <w:rPr>
                <w:rFonts w:ascii="宋体" w:hAnsi="宋体"/>
                <w:b/>
                <w:sz w:val="28"/>
                <w:szCs w:val="28"/>
              </w:rPr>
            </w:pPr>
          </w:p>
        </w:tc>
        <w:tc>
          <w:tcPr>
            <w:tcW w:w="1417" w:type="dxa"/>
          </w:tcPr>
          <w:p>
            <w:pPr>
              <w:spacing w:line="360" w:lineRule="auto"/>
              <w:rPr>
                <w:rFonts w:ascii="宋体" w:hAnsi="宋体"/>
                <w:b/>
                <w:sz w:val="28"/>
                <w:szCs w:val="28"/>
              </w:rPr>
            </w:pPr>
          </w:p>
        </w:tc>
        <w:tc>
          <w:tcPr>
            <w:tcW w:w="2595" w:type="dxa"/>
          </w:tcPr>
          <w:p>
            <w:pPr>
              <w:spacing w:line="360" w:lineRule="auto"/>
              <w:rPr>
                <w:rFonts w:ascii="宋体" w:hAnsi="宋体"/>
                <w:b/>
                <w:sz w:val="28"/>
                <w:szCs w:val="28"/>
              </w:rPr>
            </w:pPr>
          </w:p>
        </w:tc>
        <w:tc>
          <w:tcPr>
            <w:tcW w:w="1988" w:type="dxa"/>
          </w:tcPr>
          <w:p>
            <w:pPr>
              <w:spacing w:line="360" w:lineRule="auto"/>
              <w:rPr>
                <w:rFonts w:ascii="宋体" w:hAnsi="宋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spacing w:line="360" w:lineRule="auto"/>
              <w:rPr>
                <w:rFonts w:ascii="宋体" w:hAnsi="宋体"/>
                <w:b/>
                <w:sz w:val="28"/>
                <w:szCs w:val="28"/>
              </w:rPr>
            </w:pPr>
            <w:r>
              <w:rPr>
                <w:rFonts w:ascii="宋体" w:hAnsi="宋体"/>
                <w:b/>
                <w:sz w:val="28"/>
                <w:szCs w:val="28"/>
              </w:rPr>
              <w:t>4</w:t>
            </w:r>
          </w:p>
        </w:tc>
        <w:tc>
          <w:tcPr>
            <w:tcW w:w="1418" w:type="dxa"/>
            <w:vMerge w:val="continue"/>
          </w:tcPr>
          <w:p>
            <w:pPr>
              <w:spacing w:line="360" w:lineRule="auto"/>
              <w:rPr>
                <w:rFonts w:ascii="宋体" w:hAnsi="宋体"/>
                <w:b/>
                <w:sz w:val="28"/>
                <w:szCs w:val="28"/>
              </w:rPr>
            </w:pPr>
          </w:p>
        </w:tc>
        <w:tc>
          <w:tcPr>
            <w:tcW w:w="1701" w:type="dxa"/>
          </w:tcPr>
          <w:p>
            <w:pPr>
              <w:spacing w:line="360" w:lineRule="auto"/>
              <w:rPr>
                <w:rFonts w:ascii="宋体" w:hAnsi="宋体"/>
                <w:b/>
                <w:sz w:val="28"/>
                <w:szCs w:val="28"/>
              </w:rPr>
            </w:pPr>
          </w:p>
        </w:tc>
        <w:tc>
          <w:tcPr>
            <w:tcW w:w="1417" w:type="dxa"/>
          </w:tcPr>
          <w:p>
            <w:pPr>
              <w:spacing w:line="360" w:lineRule="auto"/>
              <w:rPr>
                <w:rFonts w:ascii="宋体" w:hAnsi="宋体"/>
                <w:b/>
                <w:sz w:val="28"/>
                <w:szCs w:val="28"/>
              </w:rPr>
            </w:pPr>
          </w:p>
        </w:tc>
        <w:tc>
          <w:tcPr>
            <w:tcW w:w="2595" w:type="dxa"/>
          </w:tcPr>
          <w:p>
            <w:pPr>
              <w:spacing w:line="360" w:lineRule="auto"/>
              <w:rPr>
                <w:rFonts w:ascii="宋体" w:hAnsi="宋体"/>
                <w:b/>
                <w:sz w:val="28"/>
                <w:szCs w:val="28"/>
              </w:rPr>
            </w:pPr>
          </w:p>
        </w:tc>
        <w:tc>
          <w:tcPr>
            <w:tcW w:w="1988" w:type="dxa"/>
          </w:tcPr>
          <w:p>
            <w:pPr>
              <w:spacing w:line="360" w:lineRule="auto"/>
              <w:rPr>
                <w:rFonts w:ascii="宋体" w:hAnsi="宋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spacing w:line="360" w:lineRule="auto"/>
              <w:rPr>
                <w:rFonts w:ascii="宋体" w:hAnsi="宋体"/>
                <w:b/>
                <w:sz w:val="28"/>
                <w:szCs w:val="28"/>
              </w:rPr>
            </w:pPr>
            <w:r>
              <w:rPr>
                <w:rFonts w:ascii="宋体" w:hAnsi="宋体"/>
                <w:b/>
                <w:sz w:val="28"/>
                <w:szCs w:val="28"/>
              </w:rPr>
              <w:t>5</w:t>
            </w:r>
          </w:p>
        </w:tc>
        <w:tc>
          <w:tcPr>
            <w:tcW w:w="1418" w:type="dxa"/>
            <w:vMerge w:val="restart"/>
          </w:tcPr>
          <w:p>
            <w:pPr>
              <w:spacing w:line="360" w:lineRule="auto"/>
              <w:rPr>
                <w:rFonts w:ascii="宋体" w:hAnsi="宋体"/>
                <w:b/>
                <w:sz w:val="28"/>
                <w:szCs w:val="28"/>
              </w:rPr>
            </w:pPr>
            <w:r>
              <w:rPr>
                <w:rFonts w:hint="eastAsia" w:ascii="宋体" w:hAnsi="宋体"/>
                <w:b/>
                <w:sz w:val="28"/>
                <w:szCs w:val="28"/>
              </w:rPr>
              <w:t>塑料大棚</w:t>
            </w:r>
          </w:p>
        </w:tc>
        <w:tc>
          <w:tcPr>
            <w:tcW w:w="1701" w:type="dxa"/>
          </w:tcPr>
          <w:p>
            <w:pPr>
              <w:spacing w:line="360" w:lineRule="auto"/>
              <w:rPr>
                <w:rFonts w:ascii="宋体" w:hAnsi="宋体"/>
                <w:b/>
                <w:sz w:val="28"/>
                <w:szCs w:val="28"/>
              </w:rPr>
            </w:pPr>
          </w:p>
        </w:tc>
        <w:tc>
          <w:tcPr>
            <w:tcW w:w="1417" w:type="dxa"/>
          </w:tcPr>
          <w:p>
            <w:pPr>
              <w:spacing w:line="360" w:lineRule="auto"/>
              <w:rPr>
                <w:rFonts w:ascii="宋体" w:hAnsi="宋体"/>
                <w:b/>
                <w:sz w:val="28"/>
                <w:szCs w:val="28"/>
              </w:rPr>
            </w:pPr>
          </w:p>
        </w:tc>
        <w:tc>
          <w:tcPr>
            <w:tcW w:w="2595" w:type="dxa"/>
          </w:tcPr>
          <w:p>
            <w:pPr>
              <w:spacing w:line="360" w:lineRule="auto"/>
              <w:rPr>
                <w:rFonts w:ascii="宋体" w:hAnsi="宋体"/>
                <w:b/>
                <w:sz w:val="28"/>
                <w:szCs w:val="28"/>
              </w:rPr>
            </w:pPr>
          </w:p>
        </w:tc>
        <w:tc>
          <w:tcPr>
            <w:tcW w:w="1988" w:type="dxa"/>
          </w:tcPr>
          <w:p>
            <w:pPr>
              <w:spacing w:line="360" w:lineRule="auto"/>
              <w:rPr>
                <w:rFonts w:ascii="宋体" w:hAnsi="宋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spacing w:line="360" w:lineRule="auto"/>
              <w:rPr>
                <w:rFonts w:ascii="宋体" w:hAnsi="宋体"/>
                <w:b/>
                <w:sz w:val="28"/>
                <w:szCs w:val="28"/>
              </w:rPr>
            </w:pPr>
            <w:r>
              <w:rPr>
                <w:rFonts w:ascii="宋体" w:hAnsi="宋体"/>
                <w:b/>
                <w:sz w:val="28"/>
                <w:szCs w:val="28"/>
              </w:rPr>
              <w:t>6</w:t>
            </w:r>
          </w:p>
        </w:tc>
        <w:tc>
          <w:tcPr>
            <w:tcW w:w="1418" w:type="dxa"/>
            <w:vMerge w:val="continue"/>
          </w:tcPr>
          <w:p>
            <w:pPr>
              <w:spacing w:line="360" w:lineRule="auto"/>
              <w:rPr>
                <w:rFonts w:ascii="宋体" w:hAnsi="宋体"/>
                <w:b/>
                <w:sz w:val="28"/>
                <w:szCs w:val="28"/>
              </w:rPr>
            </w:pPr>
          </w:p>
        </w:tc>
        <w:tc>
          <w:tcPr>
            <w:tcW w:w="1701" w:type="dxa"/>
          </w:tcPr>
          <w:p>
            <w:pPr>
              <w:spacing w:line="360" w:lineRule="auto"/>
              <w:rPr>
                <w:rFonts w:ascii="宋体" w:hAnsi="宋体"/>
                <w:b/>
                <w:sz w:val="28"/>
                <w:szCs w:val="28"/>
              </w:rPr>
            </w:pPr>
          </w:p>
        </w:tc>
        <w:tc>
          <w:tcPr>
            <w:tcW w:w="1417" w:type="dxa"/>
          </w:tcPr>
          <w:p>
            <w:pPr>
              <w:spacing w:line="360" w:lineRule="auto"/>
              <w:rPr>
                <w:rFonts w:ascii="宋体" w:hAnsi="宋体"/>
                <w:b/>
                <w:sz w:val="28"/>
                <w:szCs w:val="28"/>
              </w:rPr>
            </w:pPr>
          </w:p>
        </w:tc>
        <w:tc>
          <w:tcPr>
            <w:tcW w:w="2595" w:type="dxa"/>
          </w:tcPr>
          <w:p>
            <w:pPr>
              <w:spacing w:line="360" w:lineRule="auto"/>
              <w:rPr>
                <w:rFonts w:ascii="宋体" w:hAnsi="宋体"/>
                <w:b/>
                <w:sz w:val="28"/>
                <w:szCs w:val="28"/>
              </w:rPr>
            </w:pPr>
          </w:p>
        </w:tc>
        <w:tc>
          <w:tcPr>
            <w:tcW w:w="1988" w:type="dxa"/>
          </w:tcPr>
          <w:p>
            <w:pPr>
              <w:spacing w:line="360" w:lineRule="auto"/>
              <w:rPr>
                <w:rFonts w:ascii="宋体" w:hAnsi="宋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spacing w:line="360" w:lineRule="auto"/>
              <w:rPr>
                <w:rFonts w:ascii="宋体" w:hAnsi="宋体"/>
                <w:b/>
                <w:sz w:val="28"/>
                <w:szCs w:val="28"/>
              </w:rPr>
            </w:pPr>
            <w:r>
              <w:rPr>
                <w:rFonts w:ascii="宋体" w:hAnsi="宋体"/>
                <w:b/>
                <w:sz w:val="28"/>
                <w:szCs w:val="28"/>
              </w:rPr>
              <w:t>7</w:t>
            </w:r>
          </w:p>
        </w:tc>
        <w:tc>
          <w:tcPr>
            <w:tcW w:w="1418" w:type="dxa"/>
            <w:vMerge w:val="restart"/>
          </w:tcPr>
          <w:p>
            <w:pPr>
              <w:spacing w:line="360" w:lineRule="auto"/>
              <w:rPr>
                <w:rFonts w:ascii="宋体" w:hAnsi="宋体"/>
                <w:b/>
                <w:sz w:val="28"/>
                <w:szCs w:val="28"/>
              </w:rPr>
            </w:pPr>
            <w:r>
              <w:rPr>
                <w:rFonts w:hint="eastAsia" w:ascii="宋体" w:hAnsi="宋体"/>
                <w:b/>
                <w:sz w:val="28"/>
                <w:szCs w:val="28"/>
              </w:rPr>
              <w:t>加温设备</w:t>
            </w:r>
          </w:p>
        </w:tc>
        <w:tc>
          <w:tcPr>
            <w:tcW w:w="1701" w:type="dxa"/>
          </w:tcPr>
          <w:p>
            <w:pPr>
              <w:spacing w:line="360" w:lineRule="auto"/>
              <w:rPr>
                <w:rFonts w:ascii="宋体" w:hAnsi="宋体"/>
                <w:b/>
                <w:sz w:val="28"/>
                <w:szCs w:val="28"/>
              </w:rPr>
            </w:pPr>
            <w:r>
              <w:rPr>
                <w:rFonts w:hint="eastAsia" w:ascii="宋体" w:hAnsi="宋体"/>
                <w:b/>
                <w:sz w:val="28"/>
                <w:szCs w:val="28"/>
              </w:rPr>
              <w:t>锅炉</w:t>
            </w:r>
          </w:p>
        </w:tc>
        <w:tc>
          <w:tcPr>
            <w:tcW w:w="1417" w:type="dxa"/>
          </w:tcPr>
          <w:p>
            <w:pPr>
              <w:spacing w:line="360" w:lineRule="auto"/>
              <w:rPr>
                <w:rFonts w:ascii="宋体" w:hAnsi="宋体"/>
                <w:b/>
                <w:sz w:val="28"/>
                <w:szCs w:val="28"/>
              </w:rPr>
            </w:pPr>
          </w:p>
        </w:tc>
        <w:tc>
          <w:tcPr>
            <w:tcW w:w="2595" w:type="dxa"/>
          </w:tcPr>
          <w:p>
            <w:pPr>
              <w:spacing w:line="360" w:lineRule="auto"/>
              <w:rPr>
                <w:rFonts w:ascii="宋体" w:hAnsi="宋体"/>
                <w:b/>
                <w:sz w:val="28"/>
                <w:szCs w:val="28"/>
              </w:rPr>
            </w:pPr>
          </w:p>
        </w:tc>
        <w:tc>
          <w:tcPr>
            <w:tcW w:w="1988" w:type="dxa"/>
          </w:tcPr>
          <w:p>
            <w:pPr>
              <w:spacing w:line="360" w:lineRule="auto"/>
              <w:rPr>
                <w:rFonts w:ascii="宋体" w:hAnsi="宋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spacing w:line="360" w:lineRule="auto"/>
              <w:rPr>
                <w:rFonts w:ascii="宋体" w:hAnsi="宋体"/>
                <w:b/>
                <w:sz w:val="28"/>
                <w:szCs w:val="28"/>
              </w:rPr>
            </w:pPr>
            <w:r>
              <w:rPr>
                <w:rFonts w:ascii="宋体" w:hAnsi="宋体"/>
                <w:b/>
                <w:sz w:val="28"/>
                <w:szCs w:val="28"/>
              </w:rPr>
              <w:t>8</w:t>
            </w:r>
          </w:p>
        </w:tc>
        <w:tc>
          <w:tcPr>
            <w:tcW w:w="1418" w:type="dxa"/>
            <w:vMerge w:val="continue"/>
          </w:tcPr>
          <w:p>
            <w:pPr>
              <w:spacing w:line="360" w:lineRule="auto"/>
              <w:rPr>
                <w:rFonts w:ascii="宋体" w:hAnsi="宋体"/>
                <w:b/>
                <w:sz w:val="28"/>
                <w:szCs w:val="28"/>
              </w:rPr>
            </w:pPr>
          </w:p>
        </w:tc>
        <w:tc>
          <w:tcPr>
            <w:tcW w:w="1701" w:type="dxa"/>
          </w:tcPr>
          <w:p>
            <w:pPr>
              <w:spacing w:line="360" w:lineRule="auto"/>
              <w:rPr>
                <w:rFonts w:ascii="宋体" w:hAnsi="宋体"/>
                <w:b/>
                <w:sz w:val="28"/>
                <w:szCs w:val="28"/>
              </w:rPr>
            </w:pPr>
          </w:p>
        </w:tc>
        <w:tc>
          <w:tcPr>
            <w:tcW w:w="1417" w:type="dxa"/>
          </w:tcPr>
          <w:p>
            <w:pPr>
              <w:spacing w:line="360" w:lineRule="auto"/>
              <w:rPr>
                <w:rFonts w:ascii="宋体" w:hAnsi="宋体"/>
                <w:b/>
                <w:sz w:val="28"/>
                <w:szCs w:val="28"/>
              </w:rPr>
            </w:pPr>
          </w:p>
        </w:tc>
        <w:tc>
          <w:tcPr>
            <w:tcW w:w="2595" w:type="dxa"/>
          </w:tcPr>
          <w:p>
            <w:pPr>
              <w:spacing w:line="360" w:lineRule="auto"/>
              <w:rPr>
                <w:rFonts w:ascii="宋体" w:hAnsi="宋体"/>
                <w:b/>
                <w:sz w:val="28"/>
                <w:szCs w:val="28"/>
              </w:rPr>
            </w:pPr>
          </w:p>
        </w:tc>
        <w:tc>
          <w:tcPr>
            <w:tcW w:w="1988" w:type="dxa"/>
          </w:tcPr>
          <w:p>
            <w:pPr>
              <w:spacing w:line="360" w:lineRule="auto"/>
              <w:rPr>
                <w:rFonts w:ascii="宋体" w:hAnsi="宋体"/>
                <w:b/>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Pr>
          <w:p>
            <w:pPr>
              <w:spacing w:line="360" w:lineRule="auto"/>
              <w:rPr>
                <w:rFonts w:ascii="宋体" w:hAnsi="宋体"/>
                <w:b/>
                <w:sz w:val="28"/>
                <w:szCs w:val="28"/>
              </w:rPr>
            </w:pPr>
            <w:r>
              <w:rPr>
                <w:rFonts w:ascii="宋体" w:hAnsi="宋体"/>
                <w:b/>
                <w:sz w:val="28"/>
                <w:szCs w:val="28"/>
              </w:rPr>
              <w:t>9</w:t>
            </w:r>
          </w:p>
        </w:tc>
        <w:tc>
          <w:tcPr>
            <w:tcW w:w="1418" w:type="dxa"/>
            <w:vMerge w:val="continue"/>
          </w:tcPr>
          <w:p>
            <w:pPr>
              <w:spacing w:line="360" w:lineRule="auto"/>
              <w:rPr>
                <w:rFonts w:ascii="宋体" w:hAnsi="宋体"/>
                <w:b/>
                <w:sz w:val="28"/>
                <w:szCs w:val="28"/>
              </w:rPr>
            </w:pPr>
          </w:p>
        </w:tc>
        <w:tc>
          <w:tcPr>
            <w:tcW w:w="1701" w:type="dxa"/>
          </w:tcPr>
          <w:p>
            <w:pPr>
              <w:spacing w:line="360" w:lineRule="auto"/>
              <w:rPr>
                <w:rFonts w:ascii="宋体" w:hAnsi="宋体"/>
                <w:b/>
                <w:sz w:val="28"/>
                <w:szCs w:val="28"/>
              </w:rPr>
            </w:pPr>
          </w:p>
        </w:tc>
        <w:tc>
          <w:tcPr>
            <w:tcW w:w="1417" w:type="dxa"/>
          </w:tcPr>
          <w:p>
            <w:pPr>
              <w:spacing w:line="360" w:lineRule="auto"/>
              <w:rPr>
                <w:rFonts w:ascii="宋体" w:hAnsi="宋体"/>
                <w:b/>
                <w:sz w:val="28"/>
                <w:szCs w:val="28"/>
              </w:rPr>
            </w:pPr>
          </w:p>
        </w:tc>
        <w:tc>
          <w:tcPr>
            <w:tcW w:w="2595" w:type="dxa"/>
          </w:tcPr>
          <w:p>
            <w:pPr>
              <w:spacing w:line="360" w:lineRule="auto"/>
              <w:rPr>
                <w:rFonts w:ascii="宋体" w:hAnsi="宋体"/>
                <w:b/>
                <w:sz w:val="28"/>
                <w:szCs w:val="28"/>
              </w:rPr>
            </w:pPr>
          </w:p>
        </w:tc>
        <w:tc>
          <w:tcPr>
            <w:tcW w:w="1988" w:type="dxa"/>
          </w:tcPr>
          <w:p>
            <w:pPr>
              <w:spacing w:line="360" w:lineRule="auto"/>
              <w:rPr>
                <w:rFonts w:ascii="宋体" w:hAnsi="宋体"/>
                <w:b/>
                <w:sz w:val="28"/>
                <w:szCs w:val="28"/>
              </w:rPr>
            </w:pPr>
          </w:p>
        </w:tc>
      </w:tr>
    </w:tbl>
    <w:p>
      <w:pPr>
        <w:spacing w:line="360" w:lineRule="auto"/>
        <w:ind w:firstLine="360" w:firstLineChars="150"/>
        <w:rPr>
          <w:rFonts w:ascii="宋体" w:hAnsi="宋体"/>
          <w:sz w:val="24"/>
          <w:szCs w:val="28"/>
        </w:rPr>
      </w:pPr>
      <w:r>
        <w:rPr>
          <w:rFonts w:hint="eastAsia" w:ascii="宋体" w:hAnsi="宋体"/>
          <w:sz w:val="24"/>
          <w:szCs w:val="28"/>
        </w:rPr>
        <w:t>注: 投标人如提供虚假证明材料、违背诚信原则，经查证属实后，其投标文件做废标处理，投标保证金予以没收。</w:t>
      </w:r>
    </w:p>
    <w:p>
      <w:pPr>
        <w:rPr>
          <w:rFonts w:ascii="宋体" w:hAnsi="宋体" w:cs="宋体"/>
          <w:b/>
          <w:szCs w:val="21"/>
        </w:rPr>
      </w:pPr>
      <w:r>
        <w:rPr>
          <w:rFonts w:hint="eastAsia" w:ascii="宋体" w:hAnsi="宋体" w:cs="宋体"/>
          <w:b/>
          <w:sz w:val="30"/>
          <w:szCs w:val="30"/>
        </w:rPr>
        <w:br w:type="page"/>
      </w:r>
    </w:p>
    <w:p>
      <w:pPr>
        <w:spacing w:line="360" w:lineRule="auto"/>
        <w:jc w:val="center"/>
        <w:outlineLvl w:val="1"/>
        <w:rPr>
          <w:rFonts w:ascii="宋体" w:hAnsi="宋体"/>
          <w:b/>
          <w:bCs/>
          <w:sz w:val="32"/>
        </w:rPr>
      </w:pPr>
      <w:r>
        <w:rPr>
          <w:rFonts w:hint="eastAsia" w:ascii="宋体" w:hAnsi="宋体" w:cs="宋体"/>
          <w:b/>
          <w:sz w:val="30"/>
          <w:szCs w:val="30"/>
        </w:rPr>
        <w:t xml:space="preserve">花堆设计方案 </w:t>
      </w:r>
      <w:r>
        <w:rPr>
          <w:rFonts w:hint="eastAsia" w:ascii="宋体" w:hAnsi="宋体"/>
          <w:b/>
          <w:bCs/>
          <w:sz w:val="32"/>
        </w:rPr>
        <w:t>（附效果图）</w:t>
      </w:r>
    </w:p>
    <w:p>
      <w:pPr>
        <w:pStyle w:val="539"/>
        <w:jc w:val="left"/>
        <w:outlineLvl w:val="3"/>
        <w:rPr>
          <w:rFonts w:ascii="宋体" w:hAnsi="宋体" w:cs="宋体"/>
          <w:b/>
          <w:sz w:val="30"/>
          <w:szCs w:val="30"/>
        </w:rPr>
      </w:pPr>
      <w:r>
        <w:rPr>
          <w:rFonts w:hint="eastAsia" w:ascii="宋体" w:hAnsi="宋体"/>
          <w:b/>
          <w:bCs/>
          <w:sz w:val="24"/>
          <w:szCs w:val="24"/>
        </w:rPr>
        <w:t>投标人所投的航站楼绿花堆摆放设计方案不得少于33套,少于33套的将作废标处理.同时需要对摆放花堆尺寸、所用植物、数量及硬质景观进行说明。</w:t>
      </w:r>
    </w:p>
    <w:p>
      <w:pPr>
        <w:rPr>
          <w:rFonts w:ascii="宋体" w:hAnsi="宋体" w:cs="宋体"/>
          <w:b/>
          <w:sz w:val="32"/>
        </w:rPr>
      </w:pPr>
    </w:p>
    <w:p>
      <w:pPr>
        <w:rPr>
          <w:rFonts w:ascii="宋体" w:hAnsi="宋体" w:cs="宋体"/>
          <w:b/>
          <w:sz w:val="32"/>
        </w:rPr>
      </w:pPr>
      <w:r>
        <w:rPr>
          <w:rFonts w:hint="eastAsia" w:ascii="宋体" w:hAnsi="宋体" w:cs="宋体"/>
          <w:b/>
          <w:sz w:val="32"/>
        </w:rPr>
        <w:t>按下列顺序展示：</w:t>
      </w:r>
    </w:p>
    <w:p>
      <w:pPr>
        <w:rPr>
          <w:rFonts w:ascii="宋体" w:hAnsi="宋体" w:cs="宋体"/>
          <w:b/>
          <w:sz w:val="32"/>
        </w:rPr>
      </w:pPr>
    </w:p>
    <w:p>
      <w:pPr>
        <w:rPr>
          <w:rFonts w:ascii="仿宋_GB2312" w:hAnsi="仿宋_GB2312" w:eastAsia="仿宋_GB2312" w:cs="仿宋_GB2312"/>
          <w:b/>
          <w:sz w:val="28"/>
          <w:szCs w:val="21"/>
        </w:rPr>
      </w:pPr>
      <w:r>
        <w:rPr>
          <w:rFonts w:hint="eastAsia" w:ascii="仿宋_GB2312" w:hAnsi="仿宋_GB2312" w:eastAsia="仿宋_GB2312" w:cs="仿宋_GB2312"/>
          <w:b/>
          <w:sz w:val="28"/>
          <w:szCs w:val="21"/>
        </w:rPr>
        <w:t>点位1：3号门花堆</w:t>
      </w:r>
    </w:p>
    <w:p>
      <w:pPr>
        <w:rPr>
          <w:rFonts w:ascii="宋体" w:hAnsi="宋体" w:cs="宋体"/>
          <w:b/>
          <w:sz w:val="32"/>
        </w:rPr>
      </w:pPr>
      <w:r>
        <w:rPr>
          <w:rFonts w:hint="eastAsia" w:ascii="宋体" w:hAnsi="宋体" w:cs="宋体"/>
          <w:b/>
          <w:sz w:val="32"/>
        </w:rPr>
        <w:drawing>
          <wp:inline distT="0" distB="0" distL="114300" distR="114300">
            <wp:extent cx="5897880" cy="4423410"/>
            <wp:effectExtent l="0" t="0" r="7620" b="15240"/>
            <wp:docPr id="10" name="图片 10" descr="3号门原图_wps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号门原图_wps图片"/>
                    <pic:cNvPicPr>
                      <a:picLocks noChangeAspect="1"/>
                    </pic:cNvPicPr>
                  </pic:nvPicPr>
                  <pic:blipFill>
                    <a:blip r:embed="rId27"/>
                    <a:stretch>
                      <a:fillRect/>
                    </a:stretch>
                  </pic:blipFill>
                  <pic:spPr>
                    <a:xfrm>
                      <a:off x="0" y="0"/>
                      <a:ext cx="5897880" cy="4423410"/>
                    </a:xfrm>
                    <a:prstGeom prst="rect">
                      <a:avLst/>
                    </a:prstGeom>
                  </pic:spPr>
                </pic:pic>
              </a:graphicData>
            </a:graphic>
          </wp:inline>
        </w:drawing>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（一）五一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（二）十一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（三）春节</w:t>
      </w: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br w:type="page"/>
      </w:r>
    </w:p>
    <w:p>
      <w:pPr>
        <w:rPr>
          <w:rFonts w:ascii="仿宋_GB2312" w:hAnsi="仿宋_GB2312" w:eastAsia="仿宋_GB2312" w:cs="仿宋_GB2312"/>
          <w:b/>
          <w:sz w:val="28"/>
          <w:szCs w:val="21"/>
        </w:rPr>
      </w:pPr>
      <w:r>
        <w:rPr>
          <w:rFonts w:hint="eastAsia" w:ascii="仿宋_GB2312" w:hAnsi="仿宋_GB2312" w:eastAsia="仿宋_GB2312" w:cs="仿宋_GB2312"/>
          <w:b/>
          <w:sz w:val="28"/>
          <w:szCs w:val="21"/>
        </w:rPr>
        <w:t>点位2：T1“文明圣地”花堆</w:t>
      </w: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drawing>
          <wp:inline distT="0" distB="0" distL="114300" distR="114300">
            <wp:extent cx="5896610" cy="4420235"/>
            <wp:effectExtent l="0" t="0" r="8890" b="18415"/>
            <wp:docPr id="11" name="图片 11" descr="微信图片_20200317162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20200317162859"/>
                    <pic:cNvPicPr>
                      <a:picLocks noChangeAspect="1"/>
                    </pic:cNvPicPr>
                  </pic:nvPicPr>
                  <pic:blipFill>
                    <a:blip r:embed="rId28"/>
                    <a:stretch>
                      <a:fillRect/>
                    </a:stretch>
                  </pic:blipFill>
                  <pic:spPr>
                    <a:xfrm>
                      <a:off x="0" y="0"/>
                      <a:ext cx="5896610" cy="4420235"/>
                    </a:xfrm>
                    <a:prstGeom prst="rect">
                      <a:avLst/>
                    </a:prstGeom>
                  </pic:spPr>
                </pic:pic>
              </a:graphicData>
            </a:graphic>
          </wp:inline>
        </w:drawing>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（一）五一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（二）十一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（三）春节</w:t>
      </w: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br w:type="page"/>
      </w:r>
    </w:p>
    <w:p>
      <w:pPr>
        <w:rPr>
          <w:rFonts w:ascii="仿宋_GB2312" w:hAnsi="仿宋_GB2312" w:eastAsia="仿宋_GB2312" w:cs="仿宋_GB2312"/>
          <w:b/>
          <w:sz w:val="28"/>
          <w:szCs w:val="21"/>
        </w:rPr>
      </w:pPr>
      <w:r>
        <w:rPr>
          <w:rFonts w:hint="eastAsia" w:ascii="仿宋_GB2312" w:hAnsi="仿宋_GB2312" w:eastAsia="仿宋_GB2312" w:cs="仿宋_GB2312"/>
          <w:b/>
          <w:sz w:val="28"/>
          <w:szCs w:val="21"/>
        </w:rPr>
        <w:t>点位3：7号门花堆</w:t>
      </w: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drawing>
          <wp:inline distT="0" distB="0" distL="114300" distR="114300">
            <wp:extent cx="5897880" cy="4423410"/>
            <wp:effectExtent l="0" t="0" r="7620" b="15240"/>
            <wp:docPr id="12" name="图片 12" descr="7号门_wps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7号门_wps图片"/>
                    <pic:cNvPicPr>
                      <a:picLocks noChangeAspect="1"/>
                    </pic:cNvPicPr>
                  </pic:nvPicPr>
                  <pic:blipFill>
                    <a:blip r:embed="rId29"/>
                    <a:stretch>
                      <a:fillRect/>
                    </a:stretch>
                  </pic:blipFill>
                  <pic:spPr>
                    <a:xfrm>
                      <a:off x="0" y="0"/>
                      <a:ext cx="5897880" cy="4423410"/>
                    </a:xfrm>
                    <a:prstGeom prst="rect">
                      <a:avLst/>
                    </a:prstGeom>
                  </pic:spPr>
                </pic:pic>
              </a:graphicData>
            </a:graphic>
          </wp:inline>
        </w:drawing>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（一）五一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（二）十一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（三）春节</w:t>
      </w: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br w:type="page"/>
      </w:r>
    </w:p>
    <w:p>
      <w:pPr>
        <w:rPr>
          <w:rFonts w:ascii="仿宋_GB2312" w:hAnsi="仿宋_GB2312" w:eastAsia="仿宋_GB2312" w:cs="仿宋_GB2312"/>
          <w:b/>
          <w:sz w:val="28"/>
          <w:szCs w:val="21"/>
        </w:rPr>
      </w:pPr>
      <w:r>
        <w:rPr>
          <w:rFonts w:hint="eastAsia" w:ascii="仿宋_GB2312" w:hAnsi="仿宋_GB2312" w:eastAsia="仿宋_GB2312" w:cs="仿宋_GB2312"/>
          <w:b/>
          <w:sz w:val="28"/>
          <w:szCs w:val="21"/>
        </w:rPr>
        <w:t>点位4：9号门花堆</w:t>
      </w: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drawing>
          <wp:inline distT="0" distB="0" distL="114300" distR="114300">
            <wp:extent cx="5901055" cy="4425950"/>
            <wp:effectExtent l="0" t="0" r="4445" b="12700"/>
            <wp:docPr id="13" name="图片 13" descr="微信图片_20200317155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微信图片_20200317155109"/>
                    <pic:cNvPicPr>
                      <a:picLocks noChangeAspect="1"/>
                    </pic:cNvPicPr>
                  </pic:nvPicPr>
                  <pic:blipFill>
                    <a:blip r:embed="rId30"/>
                    <a:stretch>
                      <a:fillRect/>
                    </a:stretch>
                  </pic:blipFill>
                  <pic:spPr>
                    <a:xfrm>
                      <a:off x="0" y="0"/>
                      <a:ext cx="5901055" cy="4425950"/>
                    </a:xfrm>
                    <a:prstGeom prst="rect">
                      <a:avLst/>
                    </a:prstGeom>
                  </pic:spPr>
                </pic:pic>
              </a:graphicData>
            </a:graphic>
          </wp:inline>
        </w:drawing>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（一）五一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（二）十一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（三）春节</w:t>
      </w:r>
    </w:p>
    <w:p>
      <w:pPr>
        <w:rPr>
          <w:rFonts w:ascii="仿宋_GB2312" w:hAnsi="仿宋_GB2312" w:eastAsia="仿宋_GB2312" w:cs="仿宋_GB2312"/>
          <w:b/>
          <w:sz w:val="28"/>
          <w:szCs w:val="21"/>
        </w:rPr>
      </w:pPr>
      <w:r>
        <w:rPr>
          <w:rFonts w:hint="eastAsia" w:ascii="仿宋_GB2312" w:hAnsi="仿宋_GB2312" w:eastAsia="仿宋_GB2312" w:cs="仿宋_GB2312"/>
          <w:b/>
          <w:sz w:val="24"/>
          <w:szCs w:val="20"/>
        </w:rPr>
        <w:br w:type="page"/>
      </w:r>
      <w:r>
        <w:rPr>
          <w:rFonts w:hint="eastAsia" w:ascii="仿宋_GB2312" w:hAnsi="仿宋_GB2312" w:eastAsia="仿宋_GB2312" w:cs="仿宋_GB2312"/>
          <w:b/>
          <w:sz w:val="28"/>
          <w:szCs w:val="21"/>
        </w:rPr>
        <w:t>点位5：T3隔离区圈椅花堆</w:t>
      </w: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drawing>
          <wp:inline distT="0" distB="0" distL="114300" distR="114300">
            <wp:extent cx="5266690" cy="3950335"/>
            <wp:effectExtent l="0" t="0" r="10160" b="12065"/>
            <wp:docPr id="14" name="图片 14" descr="微信图片_20200317162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微信图片_20200317162909"/>
                    <pic:cNvPicPr>
                      <a:picLocks noChangeAspect="1"/>
                    </pic:cNvPicPr>
                  </pic:nvPicPr>
                  <pic:blipFill>
                    <a:blip r:embed="rId31"/>
                    <a:stretch>
                      <a:fillRect/>
                    </a:stretch>
                  </pic:blipFill>
                  <pic:spPr>
                    <a:xfrm>
                      <a:off x="0" y="0"/>
                      <a:ext cx="5266690" cy="3950335"/>
                    </a:xfrm>
                    <a:prstGeom prst="rect">
                      <a:avLst/>
                    </a:prstGeom>
                  </pic:spPr>
                </pic:pic>
              </a:graphicData>
            </a:graphic>
          </wp:inline>
        </w:drawing>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（一）五一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（二）十一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（三）春节</w:t>
      </w: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br w:type="page"/>
      </w:r>
    </w:p>
    <w:p>
      <w:pPr>
        <w:rPr>
          <w:rFonts w:ascii="仿宋_GB2312" w:hAnsi="仿宋_GB2312" w:eastAsia="仿宋_GB2312" w:cs="仿宋_GB2312"/>
          <w:b/>
          <w:sz w:val="28"/>
          <w:szCs w:val="21"/>
        </w:rPr>
      </w:pPr>
      <w:r>
        <w:rPr>
          <w:rFonts w:hint="eastAsia" w:ascii="仿宋_GB2312" w:hAnsi="仿宋_GB2312" w:eastAsia="仿宋_GB2312" w:cs="仿宋_GB2312"/>
          <w:b/>
          <w:sz w:val="28"/>
          <w:szCs w:val="21"/>
        </w:rPr>
        <w:t>点位6：G-H岛花堆</w:t>
      </w: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drawing>
          <wp:inline distT="0" distB="0" distL="114300" distR="114300">
            <wp:extent cx="5897880" cy="4423410"/>
            <wp:effectExtent l="0" t="0" r="7620" b="15240"/>
            <wp:docPr id="15" name="图片 15" descr="微信图片_2020031709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微信图片_20200317092058"/>
                    <pic:cNvPicPr>
                      <a:picLocks noChangeAspect="1"/>
                    </pic:cNvPicPr>
                  </pic:nvPicPr>
                  <pic:blipFill>
                    <a:blip r:embed="rId32"/>
                    <a:stretch>
                      <a:fillRect/>
                    </a:stretch>
                  </pic:blipFill>
                  <pic:spPr>
                    <a:xfrm>
                      <a:off x="0" y="0"/>
                      <a:ext cx="5897880" cy="4423410"/>
                    </a:xfrm>
                    <a:prstGeom prst="rect">
                      <a:avLst/>
                    </a:prstGeom>
                  </pic:spPr>
                </pic:pic>
              </a:graphicData>
            </a:graphic>
          </wp:inline>
        </w:drawing>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（一）五一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（二）十一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（三）春节</w:t>
      </w: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br w:type="page"/>
      </w:r>
    </w:p>
    <w:p>
      <w:pPr>
        <w:rPr>
          <w:rFonts w:ascii="仿宋_GB2312" w:hAnsi="仿宋_GB2312" w:eastAsia="仿宋_GB2312" w:cs="仿宋_GB2312"/>
          <w:b/>
          <w:sz w:val="28"/>
          <w:szCs w:val="21"/>
        </w:rPr>
      </w:pPr>
      <w:r>
        <w:rPr>
          <w:rFonts w:hint="eastAsia" w:ascii="仿宋_GB2312" w:hAnsi="仿宋_GB2312" w:eastAsia="仿宋_GB2312" w:cs="仿宋_GB2312"/>
          <w:b/>
          <w:sz w:val="28"/>
          <w:szCs w:val="21"/>
        </w:rPr>
        <w:t>点位7：12号门花堆</w:t>
      </w: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drawing>
          <wp:inline distT="0" distB="0" distL="114300" distR="114300">
            <wp:extent cx="5864225" cy="4398010"/>
            <wp:effectExtent l="0" t="0" r="3175" b="2540"/>
            <wp:docPr id="16" name="图片 16" descr="QQ图片20180907162522_wps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QQ图片20180907162522_wps图片"/>
                    <pic:cNvPicPr>
                      <a:picLocks noChangeAspect="1"/>
                    </pic:cNvPicPr>
                  </pic:nvPicPr>
                  <pic:blipFill>
                    <a:blip r:embed="rId33"/>
                    <a:stretch>
                      <a:fillRect/>
                    </a:stretch>
                  </pic:blipFill>
                  <pic:spPr>
                    <a:xfrm>
                      <a:off x="0" y="0"/>
                      <a:ext cx="5864225" cy="4398010"/>
                    </a:xfrm>
                    <a:prstGeom prst="rect">
                      <a:avLst/>
                    </a:prstGeom>
                  </pic:spPr>
                </pic:pic>
              </a:graphicData>
            </a:graphic>
          </wp:inline>
        </w:drawing>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（一）五一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（二）十一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（三）春节</w:t>
      </w: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br w:type="page"/>
      </w:r>
    </w:p>
    <w:p>
      <w:pPr>
        <w:rPr>
          <w:rFonts w:ascii="仿宋_GB2312" w:hAnsi="仿宋_GB2312" w:eastAsia="仿宋_GB2312" w:cs="仿宋_GB2312"/>
          <w:b/>
          <w:sz w:val="28"/>
          <w:szCs w:val="21"/>
        </w:rPr>
      </w:pPr>
      <w:r>
        <w:rPr>
          <w:rFonts w:hint="eastAsia" w:ascii="仿宋_GB2312" w:hAnsi="仿宋_GB2312" w:eastAsia="仿宋_GB2312" w:cs="仿宋_GB2312"/>
          <w:b/>
          <w:sz w:val="28"/>
          <w:szCs w:val="21"/>
        </w:rPr>
        <w:t>点位8：T3到达文化墙花堆</w:t>
      </w: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drawing>
          <wp:inline distT="0" distB="0" distL="114300" distR="114300">
            <wp:extent cx="5897880" cy="4423410"/>
            <wp:effectExtent l="0" t="0" r="7620" b="15240"/>
            <wp:docPr id="17" name="图片 17" descr="文化墙原图.jpg_wps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文化墙原图.jpg_wps图片"/>
                    <pic:cNvPicPr>
                      <a:picLocks noChangeAspect="1"/>
                    </pic:cNvPicPr>
                  </pic:nvPicPr>
                  <pic:blipFill>
                    <a:blip r:embed="rId34"/>
                    <a:stretch>
                      <a:fillRect/>
                    </a:stretch>
                  </pic:blipFill>
                  <pic:spPr>
                    <a:xfrm>
                      <a:off x="0" y="0"/>
                      <a:ext cx="5897880" cy="4423410"/>
                    </a:xfrm>
                    <a:prstGeom prst="rect">
                      <a:avLst/>
                    </a:prstGeom>
                  </pic:spPr>
                </pic:pic>
              </a:graphicData>
            </a:graphic>
          </wp:inline>
        </w:drawing>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（一）五一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（二）十一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（三）春节</w:t>
      </w: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br w:type="page"/>
      </w:r>
    </w:p>
    <w:p>
      <w:pPr>
        <w:rPr>
          <w:rFonts w:ascii="仿宋_GB2312" w:hAnsi="仿宋_GB2312" w:eastAsia="仿宋_GB2312" w:cs="仿宋_GB2312"/>
          <w:b/>
          <w:sz w:val="28"/>
          <w:szCs w:val="21"/>
        </w:rPr>
      </w:pPr>
      <w:r>
        <w:rPr>
          <w:rFonts w:hint="eastAsia" w:ascii="仿宋_GB2312" w:hAnsi="仿宋_GB2312" w:eastAsia="仿宋_GB2312" w:cs="仿宋_GB2312"/>
          <w:b/>
          <w:sz w:val="28"/>
          <w:szCs w:val="21"/>
        </w:rPr>
        <w:t>点位9：T3到达琉璃墙花堆</w:t>
      </w: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drawing>
          <wp:inline distT="0" distB="0" distL="114300" distR="114300">
            <wp:extent cx="5864225" cy="4398010"/>
            <wp:effectExtent l="0" t="0" r="3175" b="2540"/>
            <wp:docPr id="18" name="图片 18" descr="QQ图片20180907164134_wps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QQ图片20180907164134_wps图片"/>
                    <pic:cNvPicPr>
                      <a:picLocks noChangeAspect="1"/>
                    </pic:cNvPicPr>
                  </pic:nvPicPr>
                  <pic:blipFill>
                    <a:blip r:embed="rId35"/>
                    <a:stretch>
                      <a:fillRect/>
                    </a:stretch>
                  </pic:blipFill>
                  <pic:spPr>
                    <a:xfrm>
                      <a:off x="0" y="0"/>
                      <a:ext cx="5864225" cy="4398010"/>
                    </a:xfrm>
                    <a:prstGeom prst="rect">
                      <a:avLst/>
                    </a:prstGeom>
                  </pic:spPr>
                </pic:pic>
              </a:graphicData>
            </a:graphic>
          </wp:inline>
        </w:drawing>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（一）五一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（二）十一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（三）春节</w:t>
      </w: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br w:type="page"/>
      </w:r>
    </w:p>
    <w:p>
      <w:pPr>
        <w:rPr>
          <w:rFonts w:ascii="仿宋_GB2312" w:hAnsi="仿宋_GB2312" w:eastAsia="仿宋_GB2312" w:cs="仿宋_GB2312"/>
          <w:b/>
          <w:sz w:val="28"/>
          <w:szCs w:val="21"/>
        </w:rPr>
      </w:pPr>
      <w:r>
        <w:rPr>
          <w:rFonts w:hint="eastAsia" w:ascii="仿宋_GB2312" w:hAnsi="仿宋_GB2312" w:eastAsia="仿宋_GB2312" w:cs="仿宋_GB2312"/>
          <w:b/>
          <w:sz w:val="28"/>
          <w:szCs w:val="21"/>
        </w:rPr>
        <w:t>点位10：T3到达夹层花堆</w:t>
      </w: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drawing>
          <wp:inline distT="0" distB="0" distL="114300" distR="114300">
            <wp:extent cx="5902325" cy="4172585"/>
            <wp:effectExtent l="0" t="0" r="3175" b="18415"/>
            <wp:docPr id="19" name="图片 19" descr="微信图片_20200317155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微信图片_20200317155125"/>
                    <pic:cNvPicPr>
                      <a:picLocks noChangeAspect="1"/>
                    </pic:cNvPicPr>
                  </pic:nvPicPr>
                  <pic:blipFill>
                    <a:blip r:embed="rId36"/>
                    <a:stretch>
                      <a:fillRect/>
                    </a:stretch>
                  </pic:blipFill>
                  <pic:spPr>
                    <a:xfrm>
                      <a:off x="0" y="0"/>
                      <a:ext cx="5902325" cy="4172585"/>
                    </a:xfrm>
                    <a:prstGeom prst="rect">
                      <a:avLst/>
                    </a:prstGeom>
                  </pic:spPr>
                </pic:pic>
              </a:graphicData>
            </a:graphic>
          </wp:inline>
        </w:drawing>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（一）五一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（二）十一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（三）春节</w:t>
      </w: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br w:type="page"/>
      </w:r>
    </w:p>
    <w:p>
      <w:pPr>
        <w:rPr>
          <w:rFonts w:ascii="仿宋_GB2312" w:hAnsi="仿宋_GB2312" w:eastAsia="仿宋_GB2312" w:cs="仿宋_GB2312"/>
          <w:b/>
          <w:sz w:val="28"/>
          <w:szCs w:val="21"/>
        </w:rPr>
      </w:pPr>
      <w:r>
        <w:rPr>
          <w:rFonts w:hint="eastAsia" w:ascii="仿宋_GB2312" w:hAnsi="仿宋_GB2312" w:eastAsia="仿宋_GB2312" w:cs="仿宋_GB2312"/>
          <w:b/>
          <w:sz w:val="28"/>
          <w:szCs w:val="21"/>
        </w:rPr>
        <w:t>点位11：T3到达北指廊花堆</w:t>
      </w: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drawing>
          <wp:inline distT="0" distB="0" distL="114300" distR="114300">
            <wp:extent cx="5897880" cy="4423410"/>
            <wp:effectExtent l="0" t="0" r="7620" b="15240"/>
            <wp:docPr id="20" name="图片 20" descr="微信图片_20200317092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微信图片_20200317092400"/>
                    <pic:cNvPicPr>
                      <a:picLocks noChangeAspect="1"/>
                    </pic:cNvPicPr>
                  </pic:nvPicPr>
                  <pic:blipFill>
                    <a:blip r:embed="rId37"/>
                    <a:stretch>
                      <a:fillRect/>
                    </a:stretch>
                  </pic:blipFill>
                  <pic:spPr>
                    <a:xfrm>
                      <a:off x="0" y="0"/>
                      <a:ext cx="5897880" cy="4423410"/>
                    </a:xfrm>
                    <a:prstGeom prst="rect">
                      <a:avLst/>
                    </a:prstGeom>
                  </pic:spPr>
                </pic:pic>
              </a:graphicData>
            </a:graphic>
          </wp:inline>
        </w:drawing>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（一）五一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（二）十一</w:t>
      </w: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t>（三）春节</w:t>
      </w:r>
    </w:p>
    <w:p>
      <w:pPr>
        <w:rPr>
          <w:rFonts w:ascii="仿宋_GB2312" w:hAnsi="仿宋_GB2312" w:eastAsia="仿宋_GB2312" w:cs="仿宋_GB2312"/>
          <w:b/>
          <w:sz w:val="24"/>
          <w:szCs w:val="20"/>
        </w:rPr>
      </w:pPr>
      <w:r>
        <w:rPr>
          <w:rFonts w:hint="eastAsia" w:ascii="仿宋_GB2312" w:hAnsi="仿宋_GB2312" w:eastAsia="仿宋_GB2312" w:cs="仿宋_GB2312"/>
          <w:b/>
          <w:sz w:val="24"/>
          <w:szCs w:val="20"/>
        </w:rPr>
        <w:br w:type="page"/>
      </w:r>
    </w:p>
    <w:p>
      <w:pPr>
        <w:autoSpaceDE w:val="0"/>
        <w:autoSpaceDN w:val="0"/>
        <w:adjustRightInd w:val="0"/>
        <w:spacing w:line="360" w:lineRule="auto"/>
        <w:jc w:val="center"/>
        <w:outlineLvl w:val="1"/>
        <w:rPr>
          <w:rFonts w:ascii="宋体" w:hAnsi="宋体" w:cs="宋体"/>
          <w:b/>
          <w:sz w:val="32"/>
          <w:szCs w:val="32"/>
        </w:rPr>
      </w:pPr>
      <w:r>
        <w:rPr>
          <w:rFonts w:hint="eastAsia" w:ascii="宋体" w:hAnsi="宋体" w:cs="宋体"/>
          <w:b/>
          <w:sz w:val="32"/>
          <w:szCs w:val="32"/>
        </w:rPr>
        <w:t>七、技术支持资料</w:t>
      </w:r>
    </w:p>
    <w:p>
      <w:pPr>
        <w:rPr>
          <w:rFonts w:ascii="宋体" w:hAnsi="宋体" w:cs="宋体"/>
          <w:b/>
          <w:sz w:val="32"/>
          <w:szCs w:val="32"/>
        </w:rPr>
      </w:pPr>
      <w:r>
        <w:rPr>
          <w:rFonts w:hint="eastAsia" w:ascii="宋体" w:hAnsi="宋体" w:cs="宋体"/>
          <w:b/>
          <w:sz w:val="32"/>
          <w:szCs w:val="32"/>
        </w:rPr>
        <w:br w:type="page"/>
      </w:r>
    </w:p>
    <w:p>
      <w:pPr>
        <w:autoSpaceDE w:val="0"/>
        <w:autoSpaceDN w:val="0"/>
        <w:adjustRightInd w:val="0"/>
        <w:spacing w:line="360" w:lineRule="auto"/>
        <w:jc w:val="center"/>
        <w:outlineLvl w:val="1"/>
        <w:rPr>
          <w:rFonts w:ascii="宋体" w:hAnsi="宋体" w:cs="宋体"/>
          <w:b/>
          <w:sz w:val="32"/>
          <w:szCs w:val="32"/>
        </w:rPr>
      </w:pPr>
      <w:r>
        <w:rPr>
          <w:rFonts w:hint="eastAsia" w:ascii="宋体" w:hAnsi="宋体" w:cs="宋体"/>
          <w:b/>
          <w:sz w:val="32"/>
          <w:szCs w:val="32"/>
        </w:rPr>
        <w:t>八、投标单位优势及其他</w:t>
      </w:r>
    </w:p>
    <w:p>
      <w:pPr>
        <w:rPr>
          <w:rFonts w:ascii="宋体" w:hAnsi="宋体" w:cs="宋体"/>
          <w:b/>
          <w:sz w:val="32"/>
          <w:szCs w:val="32"/>
        </w:rPr>
      </w:pPr>
      <w:r>
        <w:rPr>
          <w:rFonts w:hint="eastAsia" w:ascii="宋体" w:hAnsi="宋体" w:cs="宋体"/>
          <w:b/>
          <w:sz w:val="32"/>
          <w:szCs w:val="32"/>
        </w:rPr>
        <w:br w:type="page"/>
      </w:r>
    </w:p>
    <w:p>
      <w:pPr>
        <w:autoSpaceDE w:val="0"/>
        <w:autoSpaceDN w:val="0"/>
        <w:adjustRightInd w:val="0"/>
        <w:spacing w:line="360" w:lineRule="auto"/>
        <w:jc w:val="center"/>
        <w:outlineLvl w:val="1"/>
        <w:rPr>
          <w:rFonts w:ascii="宋体" w:hAnsi="宋体" w:cs="宋体"/>
          <w:b/>
          <w:sz w:val="32"/>
          <w:szCs w:val="32"/>
        </w:rPr>
      </w:pPr>
      <w:r>
        <w:rPr>
          <w:rFonts w:hint="eastAsia" w:ascii="宋体" w:hAnsi="宋体" w:cs="宋体"/>
          <w:b/>
          <w:sz w:val="32"/>
          <w:szCs w:val="32"/>
        </w:rPr>
        <w:t>九、投标人须知前附表规定的其他资料</w:t>
      </w:r>
    </w:p>
    <w:p>
      <w:pPr>
        <w:rPr>
          <w:rFonts w:ascii="宋体" w:hAnsi="宋体" w:cs="宋体"/>
          <w:b/>
          <w:sz w:val="32"/>
          <w:szCs w:val="32"/>
        </w:rPr>
      </w:pPr>
      <w:r>
        <w:rPr>
          <w:rFonts w:hint="eastAsia" w:ascii="宋体" w:hAnsi="宋体" w:cs="宋体"/>
          <w:b/>
          <w:sz w:val="32"/>
          <w:szCs w:val="32"/>
        </w:rPr>
        <w:br w:type="page"/>
      </w:r>
    </w:p>
    <w:p>
      <w:pPr>
        <w:autoSpaceDE w:val="0"/>
        <w:autoSpaceDN w:val="0"/>
        <w:adjustRightInd w:val="0"/>
        <w:spacing w:line="360" w:lineRule="auto"/>
        <w:jc w:val="center"/>
        <w:outlineLvl w:val="1"/>
        <w:rPr>
          <w:rFonts w:ascii="宋体" w:hAnsi="宋体" w:cs="宋体"/>
          <w:b/>
          <w:sz w:val="32"/>
          <w:szCs w:val="32"/>
        </w:rPr>
      </w:pPr>
      <w:r>
        <w:rPr>
          <w:rFonts w:hint="eastAsia" w:ascii="宋体" w:hAnsi="宋体" w:cs="宋体"/>
          <w:b/>
          <w:sz w:val="32"/>
          <w:szCs w:val="32"/>
        </w:rPr>
        <w:t>十、杭州萧山国际机场有限公司廉洁自律承诺书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headerReference r:id="rId21" w:type="default"/>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outlineLvl w:val="1"/>
        <w:rPr>
          <w:b/>
          <w:sz w:val="32"/>
          <w:szCs w:val="32"/>
        </w:rPr>
      </w:pPr>
      <w:r>
        <w:rPr>
          <w:rFonts w:hint="eastAsia" w:ascii="宋体" w:hAnsi="宋体" w:cs="宋体"/>
          <w:b/>
          <w:sz w:val="32"/>
          <w:szCs w:val="32"/>
        </w:rPr>
        <w:t>十一、</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b/>
          <w:sz w:val="32"/>
          <w:szCs w:val="32"/>
        </w:rPr>
      </w:pPr>
      <w:r>
        <w:rPr>
          <w:rFonts w:hint="eastAsia" w:ascii="宋体" w:hAnsi="宋体" w:cs="宋体"/>
          <w:sz w:val="22"/>
        </w:rPr>
        <w:t>日期：     年   月   日</w:t>
      </w:r>
      <w:r>
        <w:rPr>
          <w:rFonts w:ascii="宋体" w:hAnsi="宋体" w:cs="宋体"/>
          <w:b/>
          <w:sz w:val="32"/>
          <w:szCs w:val="32"/>
        </w:rPr>
        <w:tab/>
      </w: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 w:name="Segoe UI Emoji">
    <w:panose1 w:val="020B0502040204020203"/>
    <w:charset w:val="00"/>
    <w:family w:val="swiss"/>
    <w:pitch w:val="default"/>
    <w:sig w:usb0="00000001" w:usb1="02000000" w:usb2="00000000" w:usb3="00000000" w:csb0="00000001" w:csb1="00000000"/>
  </w:font>
  <w:font w:name="Wingdings 2">
    <w:panose1 w:val="05020102010507070707"/>
    <w:charset w:val="02"/>
    <w:family w:val="roman"/>
    <w:pitch w:val="default"/>
    <w:sig w:usb0="00000000" w:usb1="00000000" w:usb2="00000000" w:usb3="00000000" w:csb0="80000000" w:csb1="00000000"/>
  </w:font>
  <w:font w:name="方正小标宋简体">
    <w:panose1 w:val="03000509000000000000"/>
    <w:charset w:val="86"/>
    <w:family w:val="script"/>
    <w:pitch w:val="default"/>
    <w:sig w:usb0="00000001" w:usb1="080E0000" w:usb2="00000000" w:usb3="00000000" w:csb0="00040000" w:csb1="00000000"/>
  </w:font>
  <w:font w:name="Adobe 楷体 Std R">
    <w:altName w:val="宋体"/>
    <w:panose1 w:val="00000000000000000000"/>
    <w:charset w:val="86"/>
    <w:family w:val="roman"/>
    <w:pitch w:val="default"/>
    <w:sig w:usb0="00000000" w:usb1="00000000" w:usb2="00000016" w:usb3="00000000" w:csb0="00060007" w:csb1="00000000"/>
  </w:font>
  <w:font w:name="MS PGothic">
    <w:panose1 w:val="020B0600070205080204"/>
    <w:charset w:val="80"/>
    <w:family w:val="auto"/>
    <w:pitch w:val="default"/>
    <w:sig w:usb0="E00002FF" w:usb1="6AC7FDFB" w:usb2="00000012" w:usb3="00000000" w:csb0="4002009F" w:csb1="DFD70000"/>
  </w:font>
  <w:font w:name="Segoe Print">
    <w:panose1 w:val="02000600000000000000"/>
    <w:charset w:val="00"/>
    <w:family w:val="auto"/>
    <w:pitch w:val="default"/>
    <w:sig w:usb0="0000028F" w:usb1="00000000" w:usb2="00000000" w:usb3="00000000" w:csb0="2000009F" w:csb1="47010000"/>
  </w:font>
  <w:font w:name="MV Boli">
    <w:panose1 w:val="02000500030200090000"/>
    <w:charset w:val="00"/>
    <w:family w:val="auto"/>
    <w:pitch w:val="default"/>
    <w:sig w:usb0="00000003" w:usb1="00000000" w:usb2="00000100" w:usb3="00000000" w:csb0="00000001"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UEyylQ4CAAAHBAAADgAAAAAAAAABACAAAAAf&#10;AQAAZHJzL2Uyb0RvYy54bWxQSwUGAAAAAAYABgBZAQAAnwUAAAAA&#10;">
              <v:fill on="f" focussize="0,0"/>
              <v:stroke on="f" weight="0.5pt"/>
              <v:imagedata o:title=""/>
              <o:lock v:ext="edit" aspectratio="f"/>
              <v:textbox inset="0mm,0mm,0mm,0mm" style="mso-fit-shape-to-text:t;">
                <w:txbxContent>
                  <w:p>
                    <w:pPr>
                      <w:pStyle w:val="50"/>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jc w:val="center"/>
                          </w:pPr>
                          <w:r>
                            <w:fldChar w:fldCharType="begin"/>
                          </w:r>
                          <w:r>
                            <w:instrText xml:space="preserve">PAGE   \* MERGEFORMAT</w:instrText>
                          </w:r>
                          <w:r>
                            <w:fldChar w:fldCharType="separate"/>
                          </w:r>
                          <w:r>
                            <w:rPr>
                              <w:lang w:val="zh-CN"/>
                            </w:rPr>
                            <w:t>-</w:t>
                          </w:r>
                          <w:r>
                            <w:t xml:space="preserve"> 22 -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DoI+MdEAIAAAcEAAAOAAAAAAAAAAEAIAAA&#10;AB8BAABkcnMvZTJvRG9jLnhtbFBLBQYAAAAABgAGAFkBAAChBQAAAAA=&#10;">
              <v:fill on="f" focussize="0,0"/>
              <v:stroke on="f" weight="0.5pt"/>
              <v:imagedata o:title=""/>
              <o:lock v:ext="edit" aspectratio="f"/>
              <v:textbox inset="0mm,0mm,0mm,0mm" style="mso-fit-shape-to-text:t;">
                <w:txbxContent>
                  <w:p>
                    <w:pPr>
                      <w:pStyle w:val="50"/>
                      <w:jc w:val="center"/>
                    </w:pPr>
                    <w:r>
                      <w:fldChar w:fldCharType="begin"/>
                    </w:r>
                    <w:r>
                      <w:instrText xml:space="preserve">PAGE   \* MERGEFORMAT</w:instrText>
                    </w:r>
                    <w:r>
                      <w:fldChar w:fldCharType="separate"/>
                    </w:r>
                    <w:r>
                      <w:rPr>
                        <w:lang w:val="zh-CN"/>
                      </w:rPr>
                      <w:t>-</w:t>
                    </w:r>
                    <w:r>
                      <w:t xml:space="preserve"> 22 -</w:t>
                    </w:r>
                    <w: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firstLine="18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ind w:firstLine="180"/>
                            <w:rPr>
                              <w:rStyle w:val="82"/>
                            </w:rPr>
                          </w:pPr>
                          <w:r>
                            <w:fldChar w:fldCharType="begin"/>
                          </w:r>
                          <w:r>
                            <w:rPr>
                              <w:rStyle w:val="82"/>
                            </w:rPr>
                            <w:instrText xml:space="preserve">PAGE  </w:instrText>
                          </w:r>
                          <w:r>
                            <w:fldChar w:fldCharType="separate"/>
                          </w:r>
                          <w:r>
                            <w:rPr>
                              <w:rStyle w:val="82"/>
                            </w:rPr>
                            <w:t>25</w:t>
                          </w:r>
                          <w:r>
                            <w:fldChar w:fldCharType="end"/>
                          </w:r>
                        </w:p>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BEkaiw4CAAAHBAAADgAAAAAAAAABACAAAAAf&#10;AQAAZHJzL2Uyb0RvYy54bWxQSwUGAAAAAAYABgBZAQAAnwUAAAAA&#10;">
              <v:fill on="f" focussize="0,0"/>
              <v:stroke on="f" weight="0.5pt"/>
              <v:imagedata o:title=""/>
              <o:lock v:ext="edit" aspectratio="f"/>
              <v:textbox inset="0mm,0mm,0mm,0mm" style="mso-fit-shape-to-text:t;">
                <w:txbxContent>
                  <w:p>
                    <w:pPr>
                      <w:pStyle w:val="50"/>
                      <w:ind w:firstLine="180"/>
                      <w:rPr>
                        <w:rStyle w:val="82"/>
                      </w:rPr>
                    </w:pPr>
                    <w:r>
                      <w:fldChar w:fldCharType="begin"/>
                    </w:r>
                    <w:r>
                      <w:rPr>
                        <w:rStyle w:val="82"/>
                      </w:rPr>
                      <w:instrText xml:space="preserve">PAGE  </w:instrText>
                    </w:r>
                    <w:r>
                      <w:fldChar w:fldCharType="separate"/>
                    </w:r>
                    <w:r>
                      <w:rPr>
                        <w:rStyle w:val="82"/>
                      </w:rPr>
                      <w:t>25</w:t>
                    </w:r>
                    <w:r>
                      <w:fldChar w:fldCharType="end"/>
                    </w:r>
                  </w:p>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ind w:firstLine="18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0"/>
                            <w:ind w:firstLine="180"/>
                            <w:rPr>
                              <w:rStyle w:val="82"/>
                            </w:rPr>
                          </w:pPr>
                          <w:r>
                            <w:fldChar w:fldCharType="begin"/>
                          </w:r>
                          <w:r>
                            <w:rPr>
                              <w:rStyle w:val="82"/>
                            </w:rPr>
                            <w:instrText xml:space="preserve">PAGE  </w:instrText>
                          </w:r>
                          <w:r>
                            <w:fldChar w:fldCharType="separate"/>
                          </w:r>
                          <w:r>
                            <w:rPr>
                              <w:rStyle w:val="82"/>
                            </w:rPr>
                            <w:t>- 84 -</w:t>
                          </w:r>
                          <w:r>
                            <w:fldChar w:fldCharType="end"/>
                          </w:r>
                        </w:p>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C8JksDEAIAAAcEAAAOAAAAAAAAAAEAIAAA&#10;AB8BAABkcnMvZTJvRG9jLnhtbFBLBQYAAAAABgAGAFkBAAChBQAAAAA=&#10;">
              <v:fill on="f" focussize="0,0"/>
              <v:stroke on="f" weight="0.5pt"/>
              <v:imagedata o:title=""/>
              <o:lock v:ext="edit" aspectratio="f"/>
              <v:textbox inset="0mm,0mm,0mm,0mm" style="mso-fit-shape-to-text:t;">
                <w:txbxContent>
                  <w:p>
                    <w:pPr>
                      <w:pStyle w:val="50"/>
                      <w:ind w:firstLine="180"/>
                      <w:rPr>
                        <w:rStyle w:val="82"/>
                      </w:rPr>
                    </w:pPr>
                    <w:r>
                      <w:fldChar w:fldCharType="begin"/>
                    </w:r>
                    <w:r>
                      <w:rPr>
                        <w:rStyle w:val="82"/>
                      </w:rPr>
                      <w:instrText xml:space="preserve">PAGE  </w:instrText>
                    </w:r>
                    <w:r>
                      <w:fldChar w:fldCharType="separate"/>
                    </w:r>
                    <w:r>
                      <w:rPr>
                        <w:rStyle w:val="82"/>
                      </w:rPr>
                      <w:t>- 84 -</w:t>
                    </w:r>
                    <w:r>
                      <w:fldChar w:fldCharType="end"/>
                    </w:r>
                  </w:p>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- 139 -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58240;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nVYHbXAAAACQEAAA8A&#10;AAAAAAAAAQAgAAAAIgAAAGRycy9kb3ducmV2LnhtbFBLAQIUABQAAAAIAIdO4kDA18Lc3wEAALUD&#10;AAAOAAAAAAAAAAEAIAAAACYBAABkcnMvZTJvRG9jLnhtbFBLBQYAAAAABgAGAFkBAAB3BQ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- 139 -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44EAF3"/>
    <w:multiLevelType w:val="singleLevel"/>
    <w:tmpl w:val="9844EAF3"/>
    <w:lvl w:ilvl="0" w:tentative="0">
      <w:start w:val="6"/>
      <w:numFmt w:val="chineseCounting"/>
      <w:suff w:val="nothing"/>
      <w:lvlText w:val="%1、"/>
      <w:lvlJc w:val="left"/>
      <w:rPr>
        <w:rFonts w:hint="eastAsia"/>
      </w:rPr>
    </w:lvl>
  </w:abstractNum>
  <w:abstractNum w:abstractNumId="1">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2">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19">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9C4BD6E"/>
    <w:multiLevelType w:val="singleLevel"/>
    <w:tmpl w:val="59C4BD6E"/>
    <w:lvl w:ilvl="0" w:tentative="0">
      <w:start w:val="1"/>
      <w:numFmt w:val="decimal"/>
      <w:suff w:val="nothing"/>
      <w:lvlText w:val="（%1）"/>
      <w:lvlJc w:val="left"/>
    </w:lvl>
  </w:abstractNum>
  <w:abstractNum w:abstractNumId="21">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2">
    <w:nsid w:val="5E8EE265"/>
    <w:multiLevelType w:val="singleLevel"/>
    <w:tmpl w:val="5E8EE265"/>
    <w:lvl w:ilvl="0" w:tentative="0">
      <w:start w:val="1"/>
      <w:numFmt w:val="decimal"/>
      <w:pStyle w:val="17"/>
      <w:lvlText w:val="%1."/>
      <w:lvlJc w:val="left"/>
      <w:pPr>
        <w:tabs>
          <w:tab w:val="left" w:pos="780"/>
        </w:tabs>
        <w:ind w:left="780" w:hanging="360"/>
      </w:pPr>
    </w:lvl>
  </w:abstractNum>
  <w:abstractNum w:abstractNumId="23">
    <w:nsid w:val="5E8EE27B"/>
    <w:multiLevelType w:val="singleLevel"/>
    <w:tmpl w:val="5E8EE27B"/>
    <w:lvl w:ilvl="0" w:tentative="0">
      <w:start w:val="1"/>
      <w:numFmt w:val="decimal"/>
      <w:pStyle w:val="22"/>
      <w:lvlText w:val="%1."/>
      <w:lvlJc w:val="left"/>
      <w:pPr>
        <w:tabs>
          <w:tab w:val="left" w:pos="360"/>
        </w:tabs>
        <w:ind w:left="360" w:hanging="360"/>
      </w:pPr>
    </w:lvl>
  </w:abstractNum>
  <w:abstractNum w:abstractNumId="24">
    <w:nsid w:val="5E8EE286"/>
    <w:multiLevelType w:val="singleLevel"/>
    <w:tmpl w:val="5E8EE286"/>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25">
    <w:nsid w:val="5E8EE291"/>
    <w:multiLevelType w:val="singleLevel"/>
    <w:tmpl w:val="5E8EE291"/>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26">
    <w:nsid w:val="5E8EE2A7"/>
    <w:multiLevelType w:val="singleLevel"/>
    <w:tmpl w:val="5E8EE2A7"/>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27">
    <w:nsid w:val="5E8EE2B2"/>
    <w:multiLevelType w:val="singleLevel"/>
    <w:tmpl w:val="5E8EE2B2"/>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28">
    <w:nsid w:val="5E8EE2BD"/>
    <w:multiLevelType w:val="singleLevel"/>
    <w:tmpl w:val="5E8EE2BD"/>
    <w:lvl w:ilvl="0" w:tentative="0">
      <w:start w:val="1"/>
      <w:numFmt w:val="decimal"/>
      <w:pStyle w:val="43"/>
      <w:lvlText w:val="%1."/>
      <w:lvlJc w:val="left"/>
      <w:pPr>
        <w:tabs>
          <w:tab w:val="left" w:pos="1620"/>
        </w:tabs>
        <w:ind w:left="1620" w:hanging="360"/>
      </w:pPr>
    </w:lvl>
  </w:abstractNum>
  <w:abstractNum w:abstractNumId="29">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0">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1">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7">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2"/>
  </w:num>
  <w:num w:numId="2">
    <w:abstractNumId w:val="23"/>
  </w:num>
  <w:num w:numId="3">
    <w:abstractNumId w:val="24"/>
  </w:num>
  <w:num w:numId="4">
    <w:abstractNumId w:val="25"/>
  </w:num>
  <w:num w:numId="5">
    <w:abstractNumId w:val="26"/>
  </w:num>
  <w:num w:numId="6">
    <w:abstractNumId w:val="27"/>
  </w:num>
  <w:num w:numId="7">
    <w:abstractNumId w:val="28"/>
  </w:num>
  <w:num w:numId="8">
    <w:abstractNumId w:val="8"/>
  </w:num>
  <w:num w:numId="9">
    <w:abstractNumId w:val="33"/>
  </w:num>
  <w:num w:numId="10">
    <w:abstractNumId w:val="34"/>
  </w:num>
  <w:num w:numId="11">
    <w:abstractNumId w:val="2"/>
    <w:lvlOverride w:ilvl="0">
      <w:startOverride w:val="1"/>
    </w:lvlOverride>
  </w:num>
  <w:num w:numId="12">
    <w:abstractNumId w:val="1"/>
    <w:lvlOverride w:ilvl="0">
      <w:startOverride w:val="1"/>
    </w:lvlOverride>
  </w:num>
  <w:num w:numId="13">
    <w:abstractNumId w:val="13"/>
  </w:num>
  <w:num w:numId="14">
    <w:abstractNumId w:val="14"/>
  </w:num>
  <w:num w:numId="15">
    <w:abstractNumId w:val="18"/>
  </w:num>
  <w:num w:numId="16">
    <w:abstractNumId w:val="31"/>
  </w:num>
  <w:num w:numId="17">
    <w:abstractNumId w:val="32"/>
  </w:num>
  <w:num w:numId="18">
    <w:abstractNumId w:val="10"/>
  </w:num>
  <w:num w:numId="19">
    <w:abstractNumId w:val="9"/>
  </w:num>
  <w:num w:numId="20">
    <w:abstractNumId w:val="6"/>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3"/>
  </w:num>
  <w:num w:numId="25">
    <w:abstractNumId w:val="7"/>
  </w:num>
  <w:num w:numId="26">
    <w:abstractNumId w:val="17"/>
  </w:num>
  <w:num w:numId="27">
    <w:abstractNumId w:val="11"/>
  </w:num>
  <w:num w:numId="28">
    <w:abstractNumId w:val="21"/>
  </w:num>
  <w:num w:numId="29">
    <w:abstractNumId w:val="30"/>
  </w:num>
  <w:num w:numId="30">
    <w:abstractNumId w:val="19"/>
  </w:num>
  <w:num w:numId="31">
    <w:abstractNumId w:val="37"/>
  </w:num>
  <w:num w:numId="32">
    <w:abstractNumId w:val="15"/>
  </w:num>
  <w:num w:numId="33">
    <w:abstractNumId w:val="16"/>
  </w:num>
  <w:num w:numId="34">
    <w:abstractNumId w:val="29"/>
  </w:num>
  <w:num w:numId="35">
    <w:abstractNumId w:val="20"/>
  </w:num>
  <w:num w:numId="36">
    <w:abstractNumId w:val="35"/>
  </w:num>
  <w:num w:numId="37">
    <w:abstractNumId w:val="36"/>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6B3E37"/>
    <w:rsid w:val="49EC04A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6">
    <w:name w:val="heading 3"/>
    <w:basedOn w:val="1"/>
    <w:next w:val="1"/>
    <w:link w:val="98"/>
    <w:qFormat/>
    <w:uiPriority w:val="0"/>
    <w:pPr>
      <w:keepNext/>
      <w:keepLines/>
      <w:spacing w:line="360" w:lineRule="auto"/>
      <w:ind w:firstLine="200" w:firstLineChars="200"/>
      <w:outlineLvl w:val="2"/>
    </w:pPr>
    <w:rPr>
      <w:b/>
      <w:bCs/>
      <w:szCs w:val="32"/>
    </w:rPr>
  </w:style>
  <w:style w:type="paragraph" w:styleId="7">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9">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10">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11">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2">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uiPriority w:val="1"/>
  </w:style>
  <w:style w:type="table" w:default="1" w:styleId="89">
    <w:name w:val="Normal Table"/>
    <w:unhideWhenUsed/>
    <w:uiPriority w:val="99"/>
    <w:tblPr>
      <w:tblLayout w:type="fixed"/>
      <w:tblCellMar>
        <w:top w:w="0" w:type="dxa"/>
        <w:left w:w="108" w:type="dxa"/>
        <w:bottom w:w="0" w:type="dxa"/>
        <w:right w:w="108" w:type="dxa"/>
      </w:tblCellMar>
    </w:tblPr>
  </w:style>
  <w:style w:type="paragraph" w:styleId="2">
    <w:name w:val="Body Text First Indent"/>
    <w:basedOn w:val="3"/>
    <w:link w:val="155"/>
    <w:qFormat/>
    <w:uiPriority w:val="0"/>
    <w:pPr>
      <w:ind w:firstLine="420" w:firstLineChars="100"/>
    </w:pPr>
  </w:style>
  <w:style w:type="paragraph" w:styleId="3">
    <w:name w:val="Body Text"/>
    <w:basedOn w:val="1"/>
    <w:link w:val="130"/>
    <w:qFormat/>
    <w:uiPriority w:val="0"/>
    <w:pPr>
      <w:spacing w:after="120"/>
    </w:pPr>
    <w:rPr>
      <w:szCs w:val="24"/>
    </w:rPr>
  </w:style>
  <w:style w:type="paragraph" w:styleId="13">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4">
    <w:name w:val="annotation subject"/>
    <w:basedOn w:val="15"/>
    <w:next w:val="15"/>
    <w:link w:val="124"/>
    <w:qFormat/>
    <w:uiPriority w:val="0"/>
    <w:rPr>
      <w:b/>
      <w:bCs/>
    </w:rPr>
  </w:style>
  <w:style w:type="paragraph" w:styleId="15">
    <w:name w:val="annotation text"/>
    <w:basedOn w:val="1"/>
    <w:link w:val="151"/>
    <w:qFormat/>
    <w:uiPriority w:val="0"/>
    <w:pPr>
      <w:jc w:val="left"/>
    </w:pPr>
    <w:rPr>
      <w:szCs w:val="24"/>
    </w:rPr>
  </w:style>
  <w:style w:type="paragraph" w:styleId="16">
    <w:name w:val="toc 7"/>
    <w:basedOn w:val="1"/>
    <w:next w:val="1"/>
    <w:qFormat/>
    <w:uiPriority w:val="39"/>
    <w:pPr>
      <w:ind w:left="1260"/>
      <w:jc w:val="left"/>
    </w:pPr>
    <w:rPr>
      <w:sz w:val="18"/>
      <w:szCs w:val="18"/>
    </w:rPr>
  </w:style>
  <w:style w:type="paragraph" w:styleId="17">
    <w:name w:val="List Number 2"/>
    <w:basedOn w:val="1"/>
    <w:qFormat/>
    <w:uiPriority w:val="0"/>
    <w:pPr>
      <w:numPr>
        <w:ilvl w:val="0"/>
        <w:numId w:val="1"/>
      </w:numPr>
    </w:pPr>
  </w:style>
  <w:style w:type="paragraph" w:styleId="18">
    <w:name w:val="table of authorities"/>
    <w:basedOn w:val="1"/>
    <w:next w:val="1"/>
    <w:qFormat/>
    <w:uiPriority w:val="0"/>
    <w:pPr>
      <w:ind w:left="210" w:hanging="210"/>
      <w:jc w:val="left"/>
    </w:pPr>
    <w:rPr>
      <w:sz w:val="20"/>
      <w:szCs w:val="20"/>
    </w:rPr>
  </w:style>
  <w:style w:type="paragraph" w:styleId="19">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74"/>
    <w:qFormat/>
    <w:uiPriority w:val="0"/>
    <w:pPr>
      <w:jc w:val="center"/>
    </w:pPr>
    <w:rPr>
      <w:rFonts w:ascii="Times New Roman" w:hAnsi="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qFormat/>
    <w:uiPriority w:val="0"/>
    <w:pPr>
      <w:numPr>
        <w:ilvl w:val="0"/>
        <w:numId w:val="2"/>
      </w:numPr>
    </w:pPr>
  </w:style>
  <w:style w:type="paragraph" w:styleId="23">
    <w:name w:val="Normal Indent"/>
    <w:basedOn w:val="1"/>
    <w:link w:val="758"/>
    <w:qFormat/>
    <w:uiPriority w:val="0"/>
    <w:pPr>
      <w:ind w:firstLine="420" w:firstLineChars="200"/>
    </w:pPr>
  </w:style>
  <w:style w:type="paragraph" w:styleId="24">
    <w:name w:val="caption"/>
    <w:basedOn w:val="1"/>
    <w:next w:val="1"/>
    <w:link w:val="1192"/>
    <w:qFormat/>
    <w:uiPriority w:val="0"/>
    <w:rPr>
      <w:rFonts w:ascii="Arial" w:hAnsi="Arial" w:eastAsia="黑体" w:cs="Arial"/>
      <w:sz w:val="20"/>
      <w:szCs w:val="20"/>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qFormat/>
    <w:uiPriority w:val="0"/>
    <w:pPr>
      <w:numPr>
        <w:ilvl w:val="0"/>
        <w:numId w:val="3"/>
      </w:numPr>
    </w:pPr>
  </w:style>
  <w:style w:type="paragraph" w:styleId="27">
    <w:name w:val="Document Map"/>
    <w:basedOn w:val="1"/>
    <w:link w:val="122"/>
    <w:qFormat/>
    <w:uiPriority w:val="0"/>
    <w:pPr>
      <w:shd w:val="clear" w:color="auto" w:fill="000080"/>
    </w:pPr>
    <w:rPr>
      <w:szCs w:val="24"/>
    </w:rPr>
  </w:style>
  <w:style w:type="paragraph" w:styleId="28">
    <w:name w:val="toa heading"/>
    <w:basedOn w:val="1"/>
    <w:next w:val="1"/>
    <w:qFormat/>
    <w:uiPriority w:val="0"/>
    <w:pPr>
      <w:spacing w:before="120"/>
    </w:pPr>
    <w:rPr>
      <w:rFonts w:ascii="Arial" w:hAnsi="Arial"/>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08"/>
    <w:qFormat/>
    <w:uiPriority w:val="0"/>
    <w:pPr>
      <w:adjustRightInd w:val="0"/>
    </w:pPr>
    <w:rPr>
      <w:rFonts w:ascii="Times New Roman" w:hAnsi="Times New Roman"/>
      <w:szCs w:val="20"/>
    </w:rPr>
  </w:style>
  <w:style w:type="paragraph" w:styleId="31">
    <w:name w:val="Body Text 3"/>
    <w:basedOn w:val="1"/>
    <w:link w:val="172"/>
    <w:qFormat/>
    <w:uiPriority w:val="0"/>
    <w:rPr>
      <w:rFonts w:ascii="宋体"/>
      <w:sz w:val="24"/>
      <w:szCs w:val="20"/>
    </w:rPr>
  </w:style>
  <w:style w:type="paragraph" w:styleId="32">
    <w:name w:val="List Bullet 3"/>
    <w:basedOn w:val="1"/>
    <w:qFormat/>
    <w:uiPriority w:val="0"/>
    <w:pPr>
      <w:numPr>
        <w:ilvl w:val="0"/>
        <w:numId w:val="4"/>
      </w:numPr>
    </w:pPr>
  </w:style>
  <w:style w:type="paragraph" w:styleId="33">
    <w:name w:val="Body Text Indent"/>
    <w:basedOn w:val="1"/>
    <w:link w:val="194"/>
    <w:qFormat/>
    <w:uiPriority w:val="0"/>
    <w:pPr>
      <w:spacing w:after="120"/>
      <w:ind w:left="420" w:leftChars="200"/>
    </w:pPr>
    <w:rPr>
      <w:szCs w:val="24"/>
    </w:rPr>
  </w:style>
  <w:style w:type="paragraph" w:styleId="34">
    <w:name w:val="List 2"/>
    <w:basedOn w:val="1"/>
    <w:qFormat/>
    <w:uiPriority w:val="0"/>
    <w:pPr>
      <w:ind w:left="100" w:leftChars="200" w:hanging="200" w:hangingChars="200"/>
    </w:pPr>
    <w:rPr>
      <w:rFonts w:ascii="Times New Roman" w:hAnsi="Times New Roman"/>
      <w:szCs w:val="20"/>
    </w:rPr>
  </w:style>
  <w:style w:type="paragraph" w:styleId="35">
    <w:name w:val="List Continue"/>
    <w:basedOn w:val="1"/>
    <w:qFormat/>
    <w:uiPriority w:val="0"/>
    <w:pPr>
      <w:spacing w:after="120"/>
      <w:ind w:left="420" w:leftChars="200"/>
    </w:pPr>
    <w:rPr>
      <w:rFonts w:ascii="Times New Roman" w:hAnsi="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qFormat/>
    <w:uiPriority w:val="0"/>
    <w:pPr>
      <w:numPr>
        <w:ilvl w:val="0"/>
        <w:numId w:val="5"/>
      </w:numPr>
    </w:p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qFormat/>
    <w:uiPriority w:val="39"/>
    <w:pPr>
      <w:ind w:left="840"/>
      <w:jc w:val="left"/>
    </w:pPr>
    <w:rPr>
      <w:sz w:val="18"/>
      <w:szCs w:val="18"/>
    </w:rPr>
  </w:style>
  <w:style w:type="paragraph" w:styleId="40">
    <w:name w:val="toc 3"/>
    <w:basedOn w:val="1"/>
    <w:next w:val="1"/>
    <w:qFormat/>
    <w:uiPriority w:val="39"/>
    <w:pPr>
      <w:ind w:left="420"/>
      <w:jc w:val="left"/>
    </w:pPr>
    <w:rPr>
      <w:iCs/>
      <w:sz w:val="20"/>
      <w:szCs w:val="20"/>
    </w:rPr>
  </w:style>
  <w:style w:type="paragraph" w:styleId="41">
    <w:name w:val="Plain Text"/>
    <w:basedOn w:val="1"/>
    <w:link w:val="193"/>
    <w:qFormat/>
    <w:uiPriority w:val="0"/>
    <w:rPr>
      <w:rFonts w:ascii="宋体" w:hAnsi="Courier New" w:cs="Courier New"/>
      <w:szCs w:val="21"/>
    </w:rPr>
  </w:style>
  <w:style w:type="paragraph" w:styleId="42">
    <w:name w:val="List Bullet 5"/>
    <w:basedOn w:val="1"/>
    <w:qFormat/>
    <w:uiPriority w:val="0"/>
    <w:pPr>
      <w:numPr>
        <w:ilvl w:val="0"/>
        <w:numId w:val="6"/>
      </w:numPr>
    </w:pPr>
  </w:style>
  <w:style w:type="paragraph" w:styleId="43">
    <w:name w:val="List Number 4"/>
    <w:basedOn w:val="1"/>
    <w:qFormat/>
    <w:uiPriority w:val="0"/>
    <w:pPr>
      <w:numPr>
        <w:ilvl w:val="0"/>
        <w:numId w:val="7"/>
      </w:numPr>
    </w:pPr>
  </w:style>
  <w:style w:type="paragraph" w:styleId="44">
    <w:name w:val="toc 8"/>
    <w:basedOn w:val="1"/>
    <w:next w:val="1"/>
    <w:qFormat/>
    <w:uiPriority w:val="39"/>
    <w:pPr>
      <w:ind w:left="1470"/>
      <w:jc w:val="left"/>
    </w:pPr>
    <w:rPr>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01"/>
    <w:qFormat/>
    <w:uiPriority w:val="0"/>
    <w:rPr>
      <w:rFonts w:eastAsia="仿宋_GB2312"/>
      <w:sz w:val="28"/>
      <w:szCs w:val="20"/>
    </w:rPr>
  </w:style>
  <w:style w:type="paragraph" w:styleId="47">
    <w:name w:val="Body Text Indent 2"/>
    <w:basedOn w:val="1"/>
    <w:link w:val="112"/>
    <w:qFormat/>
    <w:uiPriority w:val="0"/>
    <w:pPr>
      <w:spacing w:line="300" w:lineRule="auto"/>
      <w:ind w:firstLine="480"/>
    </w:pPr>
    <w:rPr>
      <w:rFonts w:ascii="黑体" w:eastAsia="黑体"/>
      <w:szCs w:val="24"/>
    </w:rPr>
  </w:style>
  <w:style w:type="paragraph" w:styleId="48">
    <w:name w:val="endnote text"/>
    <w:basedOn w:val="1"/>
    <w:link w:val="133"/>
    <w:qFormat/>
    <w:uiPriority w:val="0"/>
    <w:pPr>
      <w:snapToGrid w:val="0"/>
      <w:jc w:val="left"/>
    </w:pPr>
    <w:rPr>
      <w:szCs w:val="20"/>
    </w:rPr>
  </w:style>
  <w:style w:type="paragraph" w:styleId="49">
    <w:name w:val="Balloon Text"/>
    <w:basedOn w:val="1"/>
    <w:link w:val="131"/>
    <w:qFormat/>
    <w:uiPriority w:val="0"/>
    <w:rPr>
      <w:sz w:val="18"/>
      <w:szCs w:val="18"/>
    </w:rPr>
  </w:style>
  <w:style w:type="paragraph" w:styleId="50">
    <w:name w:val="footer"/>
    <w:basedOn w:val="1"/>
    <w:link w:val="94"/>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591"/>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71"/>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qFormat/>
    <w:uiPriority w:val="39"/>
    <w:pPr>
      <w:ind w:left="630"/>
      <w:jc w:val="left"/>
    </w:pPr>
    <w:rPr>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76"/>
    <w:qFormat/>
    <w:uiPriority w:val="0"/>
    <w:pPr>
      <w:spacing w:after="60"/>
      <w:jc w:val="center"/>
      <w:outlineLvl w:val="1"/>
    </w:pPr>
    <w:rPr>
      <w:rFonts w:ascii="Cambria" w:hAnsi="Cambria"/>
      <w:kern w:val="0"/>
      <w:sz w:val="20"/>
      <w:szCs w:val="20"/>
    </w:rPr>
  </w:style>
  <w:style w:type="paragraph" w:styleId="59">
    <w:name w:val="List"/>
    <w:basedOn w:val="1"/>
    <w:qFormat/>
    <w:uiPriority w:val="0"/>
    <w:pPr>
      <w:ind w:left="200" w:hanging="200" w:hangingChars="200"/>
    </w:pPr>
    <w:rPr>
      <w:rFonts w:ascii="Times New Roman" w:hAnsi="Times New Roman"/>
      <w:szCs w:val="24"/>
    </w:rPr>
  </w:style>
  <w:style w:type="paragraph" w:styleId="60">
    <w:name w:val="footnote text"/>
    <w:basedOn w:val="1"/>
    <w:link w:val="186"/>
    <w:qFormat/>
    <w:uiPriority w:val="0"/>
    <w:pPr>
      <w:snapToGrid w:val="0"/>
      <w:jc w:val="left"/>
    </w:pPr>
    <w:rPr>
      <w:sz w:val="18"/>
      <w:szCs w:val="20"/>
    </w:rPr>
  </w:style>
  <w:style w:type="paragraph" w:styleId="61">
    <w:name w:val="toc 6"/>
    <w:basedOn w:val="1"/>
    <w:next w:val="1"/>
    <w:qFormat/>
    <w:uiPriority w:val="39"/>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07"/>
    <w:qFormat/>
    <w:uiPriority w:val="0"/>
    <w:pPr>
      <w:spacing w:after="120"/>
      <w:ind w:left="420" w:leftChars="200"/>
    </w:pPr>
    <w:rPr>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qFormat/>
    <w:uiPriority w:val="39"/>
    <w:pPr>
      <w:ind w:left="210"/>
      <w:jc w:val="left"/>
    </w:pPr>
    <w:rPr>
      <w:smallCaps/>
      <w:sz w:val="20"/>
      <w:szCs w:val="20"/>
    </w:rPr>
  </w:style>
  <w:style w:type="paragraph" w:styleId="69">
    <w:name w:val="toc 9"/>
    <w:basedOn w:val="1"/>
    <w:next w:val="1"/>
    <w:qFormat/>
    <w:uiPriority w:val="39"/>
    <w:pPr>
      <w:ind w:left="1680"/>
      <w:jc w:val="left"/>
    </w:pPr>
    <w:rPr>
      <w:sz w:val="18"/>
      <w:szCs w:val="18"/>
    </w:rPr>
  </w:style>
  <w:style w:type="paragraph" w:styleId="70">
    <w:name w:val="Body Text 2"/>
    <w:basedOn w:val="1"/>
    <w:link w:val="221"/>
    <w:qFormat/>
    <w:uiPriority w:val="0"/>
    <w:pPr>
      <w:spacing w:after="120" w:line="480" w:lineRule="auto"/>
    </w:pPr>
  </w:style>
  <w:style w:type="paragraph" w:styleId="71">
    <w:name w:val="List Continue 2"/>
    <w:basedOn w:val="1"/>
    <w:qFormat/>
    <w:uiPriority w:val="0"/>
    <w:pPr>
      <w:spacing w:after="120"/>
      <w:ind w:left="840" w:leftChars="400"/>
    </w:pPr>
    <w:rPr>
      <w:rFonts w:ascii="Times New Roman" w:hAnsi="Times New Roman"/>
      <w:szCs w:val="20"/>
    </w:rPr>
  </w:style>
  <w:style w:type="paragraph" w:styleId="72">
    <w:name w:val="Message Header"/>
    <w:basedOn w:val="3"/>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qFormat/>
    <w:uiPriority w:val="0"/>
    <w:pPr>
      <w:widowControl/>
      <w:spacing w:before="100" w:beforeAutospacing="1" w:after="100" w:afterAutospacing="1"/>
      <w:jc w:val="left"/>
    </w:pPr>
    <w:rPr>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qFormat/>
    <w:uiPriority w:val="0"/>
    <w:pPr>
      <w:spacing w:line="220" w:lineRule="exact"/>
      <w:jc w:val="center"/>
    </w:pPr>
    <w:rPr>
      <w:rFonts w:ascii="仿宋_GB2312" w:eastAsia="仿宋_GB2312"/>
      <w:szCs w:val="21"/>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96"/>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Times New Roman" w:hAnsi="Times New Roman" w:eastAsia="宋体" w:cs="Times New Roman"/>
      <w:b/>
      <w:bCs/>
      <w:lang w:val="en-US" w:eastAsia="zh-CN" w:bidi="ar-SA"/>
    </w:rPr>
  </w:style>
  <w:style w:type="character" w:styleId="81">
    <w:name w:val="endnote reference"/>
    <w:qFormat/>
    <w:uiPriority w:val="0"/>
    <w:rPr>
      <w:rFonts w:ascii="Times New Roman" w:hAnsi="Times New Roman" w:eastAsia="宋体" w:cs="Times New Roman"/>
      <w:vertAlign w:val="superscript"/>
      <w:lang w:val="en-US" w:eastAsia="zh-CN" w:bidi="ar-SA"/>
    </w:rPr>
  </w:style>
  <w:style w:type="character" w:styleId="82">
    <w:name w:val="page number"/>
    <w:qFormat/>
    <w:uiPriority w:val="0"/>
    <w:rPr>
      <w:rFonts w:ascii="Times New Roman" w:hAnsi="Times New Roman" w:eastAsia="宋体" w:cs="Times New Roman"/>
      <w:lang w:val="en-US" w:eastAsia="zh-CN" w:bidi="ar-SA"/>
    </w:rPr>
  </w:style>
  <w:style w:type="character" w:styleId="83">
    <w:name w:val="FollowedHyperlink"/>
    <w:qFormat/>
    <w:uiPriority w:val="99"/>
    <w:rPr>
      <w:rFonts w:ascii="Times New Roman" w:hAnsi="Times New Roman" w:eastAsia="宋体" w:cs="Times New Roman"/>
      <w:color w:val="800080"/>
      <w:u w:val="single"/>
      <w:lang w:val="en-US" w:eastAsia="zh-CN" w:bidi="ar-SA"/>
    </w:rPr>
  </w:style>
  <w:style w:type="character" w:styleId="84">
    <w:name w:val="Emphasis"/>
    <w:qFormat/>
    <w:uiPriority w:val="20"/>
    <w:rPr>
      <w:rFonts w:ascii="Times New Roman" w:hAnsi="Times New Roman" w:eastAsia="宋体" w:cs="Times New Roman"/>
      <w:i/>
      <w:iCs/>
      <w:lang w:val="en-US" w:eastAsia="zh-CN" w:bidi="ar-SA"/>
    </w:rPr>
  </w:style>
  <w:style w:type="character" w:styleId="85">
    <w:name w:val="line number"/>
    <w:basedOn w:val="79"/>
    <w:qFormat/>
    <w:uiPriority w:val="0"/>
    <w:rPr>
      <w:rFonts w:ascii="Times New Roman" w:hAnsi="Times New Roman" w:eastAsia="宋体" w:cs="Times New Roman"/>
      <w:lang w:val="en-US" w:eastAsia="zh-CN" w:bidi="ar-SA"/>
    </w:rPr>
  </w:style>
  <w:style w:type="character" w:styleId="86">
    <w:name w:val="Hyperlink"/>
    <w:unhideWhenUsed/>
    <w:qFormat/>
    <w:uiPriority w:val="99"/>
    <w:rPr>
      <w:rFonts w:ascii="Times New Roman" w:hAnsi="Times New Roman" w:eastAsia="宋体" w:cs="Times New Roman"/>
      <w:color w:val="0000FF"/>
      <w:u w:val="single"/>
      <w:lang w:val="en-US" w:eastAsia="zh-CN" w:bidi="ar-SA"/>
    </w:rPr>
  </w:style>
  <w:style w:type="character" w:styleId="87">
    <w:name w:val="annotation reference"/>
    <w:qFormat/>
    <w:uiPriority w:val="0"/>
    <w:rPr>
      <w:rFonts w:ascii="Times New Roman" w:hAnsi="Times New Roman" w:eastAsia="宋体" w:cs="Times New Roman"/>
      <w:sz w:val="21"/>
      <w:szCs w:val="21"/>
      <w:lang w:val="en-US" w:eastAsia="zh-CN" w:bidi="ar-SA"/>
    </w:rPr>
  </w:style>
  <w:style w:type="character" w:styleId="88">
    <w:name w:val="footnote reference"/>
    <w:qFormat/>
    <w:uiPriority w:val="0"/>
    <w:rPr>
      <w:rFonts w:ascii="Times New Roman" w:hAnsi="Times New Roman" w:eastAsia="宋体" w:cs="Times New Roman"/>
      <w:vertAlign w:val="superscript"/>
      <w:lang w:val="en-US" w:eastAsia="zh-CN" w:bidi="ar-SA"/>
    </w:rPr>
  </w:style>
  <w:style w:type="table" w:styleId="90">
    <w:name w:val="Table Grid"/>
    <w:basedOn w:val="89"/>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1">
    <w:name w:val="Table Theme"/>
    <w:basedOn w:val="89"/>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Elegant"/>
    <w:basedOn w:val="89"/>
    <w:unhideWhenUsed/>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3">
    <w:name w:val="页眉 字符"/>
    <w:link w:val="52"/>
    <w:qFormat/>
    <w:uiPriority w:val="0"/>
    <w:rPr>
      <w:rFonts w:ascii="Times New Roman" w:hAnsi="Times New Roman" w:eastAsia="宋体" w:cs="Times New Roman"/>
      <w:sz w:val="18"/>
      <w:szCs w:val="18"/>
      <w:lang w:val="en-US" w:eastAsia="zh-CN" w:bidi="ar-SA"/>
    </w:rPr>
  </w:style>
  <w:style w:type="character" w:customStyle="1" w:styleId="94">
    <w:name w:val="页脚 字符1"/>
    <w:link w:val="50"/>
    <w:qFormat/>
    <w:uiPriority w:val="0"/>
    <w:rPr>
      <w:rFonts w:ascii="Times New Roman" w:hAnsi="Times New Roman" w:eastAsia="宋体" w:cs="Times New Roman"/>
      <w:sz w:val="18"/>
      <w:szCs w:val="18"/>
      <w:lang w:val="en-US" w:eastAsia="zh-CN" w:bidi="ar-SA"/>
    </w:rPr>
  </w:style>
  <w:style w:type="character" w:customStyle="1" w:styleId="95">
    <w:name w:val="标题 1 字符1"/>
    <w:link w:val="4"/>
    <w:qFormat/>
    <w:uiPriority w:val="0"/>
    <w:rPr>
      <w:rFonts w:ascii="Times New Roman" w:hAnsi="Times New Roman" w:eastAsia="宋体" w:cs="Times New Roman"/>
      <w:b/>
      <w:bCs/>
      <w:kern w:val="44"/>
      <w:sz w:val="44"/>
      <w:szCs w:val="44"/>
      <w:lang w:val="en-US" w:eastAsia="zh-CN" w:bidi="ar-SA"/>
    </w:rPr>
  </w:style>
  <w:style w:type="character" w:customStyle="1" w:styleId="96">
    <w:name w:val="标题 字符1"/>
    <w:link w:val="78"/>
    <w:qFormat/>
    <w:uiPriority w:val="0"/>
    <w:rPr>
      <w:rFonts w:ascii="Cambria" w:hAnsi="Cambria" w:eastAsia="宋体" w:cs="Times New Roman"/>
      <w:b/>
      <w:bCs/>
      <w:sz w:val="32"/>
      <w:szCs w:val="32"/>
      <w:lang w:val="en-US" w:eastAsia="zh-CN" w:bidi="ar-SA"/>
    </w:rPr>
  </w:style>
  <w:style w:type="character" w:customStyle="1" w:styleId="97">
    <w:name w:val="标题 2 字符1"/>
    <w:link w:val="5"/>
    <w:qFormat/>
    <w:uiPriority w:val="0"/>
    <w:rPr>
      <w:rFonts w:ascii="Arial" w:hAnsi="Arial" w:eastAsia="宋体" w:cs="Times New Roman"/>
      <w:b/>
      <w:bCs/>
      <w:sz w:val="24"/>
      <w:szCs w:val="32"/>
      <w:lang w:val="en-US" w:eastAsia="zh-CN" w:bidi="ar-SA"/>
    </w:rPr>
  </w:style>
  <w:style w:type="character" w:customStyle="1" w:styleId="98">
    <w:name w:val="标题 3 字符1"/>
    <w:link w:val="6"/>
    <w:qFormat/>
    <w:uiPriority w:val="0"/>
    <w:rPr>
      <w:rFonts w:ascii="Times New Roman" w:hAnsi="Times New Roman" w:eastAsia="宋体" w:cs="Times New Roman"/>
      <w:b/>
      <w:bCs/>
      <w:szCs w:val="32"/>
      <w:lang w:val="en-US" w:eastAsia="zh-CN" w:bidi="ar-SA"/>
    </w:rPr>
  </w:style>
  <w:style w:type="character" w:customStyle="1" w:styleId="99">
    <w:name w:val="标题 4 字符1"/>
    <w:link w:val="7"/>
    <w:qFormat/>
    <w:uiPriority w:val="0"/>
    <w:rPr>
      <w:rFonts w:ascii="Arial" w:hAnsi="Arial" w:eastAsia="黑体" w:cs="Times New Roman"/>
      <w:b/>
      <w:bCs/>
      <w:sz w:val="28"/>
      <w:szCs w:val="28"/>
      <w:lang w:val="en-US" w:eastAsia="zh-CN" w:bidi="ar-SA"/>
    </w:rPr>
  </w:style>
  <w:style w:type="character" w:customStyle="1" w:styleId="100">
    <w:name w:val="标题 5 字符"/>
    <w:link w:val="8"/>
    <w:qFormat/>
    <w:uiPriority w:val="0"/>
    <w:rPr>
      <w:rFonts w:ascii="宋体" w:hAnsi="宋体" w:eastAsia="宋体" w:cs="Times New Roman"/>
      <w:b/>
      <w:kern w:val="0"/>
      <w:sz w:val="24"/>
      <w:szCs w:val="20"/>
      <w:lang w:val="en-US" w:eastAsia="zh-CN" w:bidi="ar-SA"/>
    </w:rPr>
  </w:style>
  <w:style w:type="character" w:customStyle="1" w:styleId="101">
    <w:name w:val="标题 6 字符1"/>
    <w:link w:val="9"/>
    <w:qFormat/>
    <w:uiPriority w:val="0"/>
    <w:rPr>
      <w:rFonts w:ascii="Arial" w:hAnsi="Arial" w:eastAsia="黑体" w:cs="Times New Roman"/>
      <w:b/>
      <w:bCs/>
      <w:kern w:val="0"/>
      <w:sz w:val="24"/>
      <w:lang w:val="en-US" w:eastAsia="zh-CN" w:bidi="ar-SA"/>
    </w:rPr>
  </w:style>
  <w:style w:type="character" w:customStyle="1" w:styleId="102">
    <w:name w:val="标题 7 字符1"/>
    <w:link w:val="10"/>
    <w:qFormat/>
    <w:uiPriority w:val="0"/>
    <w:rPr>
      <w:rFonts w:ascii="Times New Roman" w:hAnsi="Times New Roman" w:eastAsia="宋体" w:cs="Times New Roman"/>
      <w:b/>
      <w:bCs/>
      <w:kern w:val="0"/>
      <w:sz w:val="24"/>
      <w:lang w:val="en-US" w:eastAsia="zh-CN" w:bidi="ar-SA"/>
    </w:rPr>
  </w:style>
  <w:style w:type="character" w:customStyle="1" w:styleId="103">
    <w:name w:val="标题 8 字符1"/>
    <w:link w:val="11"/>
    <w:qFormat/>
    <w:uiPriority w:val="0"/>
    <w:rPr>
      <w:rFonts w:ascii="Arial" w:hAnsi="Arial" w:eastAsia="黑体" w:cs="Times New Roman"/>
      <w:kern w:val="0"/>
      <w:sz w:val="24"/>
      <w:lang w:val="en-US" w:eastAsia="zh-CN" w:bidi="ar-SA"/>
    </w:rPr>
  </w:style>
  <w:style w:type="character" w:customStyle="1" w:styleId="104">
    <w:name w:val="标题 9 字符1"/>
    <w:link w:val="12"/>
    <w:qFormat/>
    <w:uiPriority w:val="0"/>
    <w:rPr>
      <w:rFonts w:ascii="Arial" w:hAnsi="Arial" w:eastAsia="黑体" w:cs="Times New Roman"/>
      <w:kern w:val="0"/>
      <w:szCs w:val="21"/>
      <w:lang w:val="en-US" w:eastAsia="zh-CN" w:bidi="ar-SA"/>
    </w:rPr>
  </w:style>
  <w:style w:type="character" w:customStyle="1" w:styleId="105">
    <w:name w:val="ca-341"/>
    <w:qFormat/>
    <w:uiPriority w:val="0"/>
    <w:rPr>
      <w:rFonts w:hint="eastAsia" w:ascii="宋体" w:hAnsi="宋体" w:eastAsia="宋体" w:cs="Times New Roman"/>
      <w:color w:val="000000"/>
      <w:sz w:val="20"/>
      <w:szCs w:val="20"/>
      <w:lang w:val="en-US" w:eastAsia="zh-CN" w:bidi="ar-SA"/>
    </w:rPr>
  </w:style>
  <w:style w:type="character" w:customStyle="1" w:styleId="106">
    <w:name w:val="ca-71"/>
    <w:qFormat/>
    <w:uiPriority w:val="0"/>
    <w:rPr>
      <w:rFonts w:hint="default" w:ascii="Times New Roman" w:hAnsi="Times New Roman" w:eastAsia="宋体" w:cs="Times New Roman"/>
      <w:color w:val="000000"/>
      <w:sz w:val="28"/>
      <w:szCs w:val="28"/>
      <w:lang w:val="en-US" w:eastAsia="zh-CN" w:bidi="ar-SA"/>
    </w:rPr>
  </w:style>
  <w:style w:type="character" w:customStyle="1" w:styleId="107">
    <w:name w:val="正文文本缩进 3 字符1"/>
    <w:link w:val="64"/>
    <w:qFormat/>
    <w:uiPriority w:val="0"/>
    <w:rPr>
      <w:rFonts w:ascii="Times New Roman" w:hAnsi="Times New Roman" w:eastAsia="宋体" w:cs="Times New Roman"/>
      <w:sz w:val="16"/>
      <w:szCs w:val="16"/>
      <w:lang w:val="en-US" w:eastAsia="zh-CN" w:bidi="ar-SA"/>
    </w:rPr>
  </w:style>
  <w:style w:type="character" w:customStyle="1" w:styleId="108">
    <w:name w:val="ca-61"/>
    <w:qFormat/>
    <w:uiPriority w:val="0"/>
    <w:rPr>
      <w:rFonts w:hint="eastAsia" w:ascii="宋体" w:hAnsi="宋体" w:eastAsia="宋体" w:cs="Times New Roman"/>
      <w:color w:val="000000"/>
      <w:sz w:val="30"/>
      <w:szCs w:val="30"/>
      <w:lang w:val="en-US" w:eastAsia="zh-CN" w:bidi="ar-SA"/>
    </w:rPr>
  </w:style>
  <w:style w:type="character" w:customStyle="1" w:styleId="109">
    <w:name w:val="ca-221"/>
    <w:qFormat/>
    <w:uiPriority w:val="0"/>
    <w:rPr>
      <w:rFonts w:hint="eastAsia" w:ascii="宋体" w:hAnsi="宋体" w:eastAsia="宋体" w:cs="Times New Roman"/>
      <w:sz w:val="21"/>
      <w:szCs w:val="21"/>
      <w:lang w:val="en-US" w:eastAsia="zh-CN" w:bidi="ar-SA"/>
    </w:rPr>
  </w:style>
  <w:style w:type="character" w:customStyle="1" w:styleId="110">
    <w:name w:val="zbggmain style9"/>
    <w:qFormat/>
    <w:uiPriority w:val="0"/>
    <w:rPr>
      <w:rFonts w:ascii="Times New Roman" w:hAnsi="Times New Roman" w:eastAsia="宋体" w:cs="Times New Roman"/>
      <w:lang w:val="en-US" w:eastAsia="zh-CN" w:bidi="ar-SA"/>
    </w:rPr>
  </w:style>
  <w:style w:type="character" w:customStyle="1" w:styleId="111">
    <w:name w:val="ca-261"/>
    <w:qFormat/>
    <w:uiPriority w:val="0"/>
    <w:rPr>
      <w:rFonts w:hint="eastAsia" w:ascii="宋体" w:hAnsi="宋体" w:eastAsia="宋体" w:cs="Times New Roman"/>
      <w:color w:val="002060"/>
      <w:sz w:val="21"/>
      <w:szCs w:val="21"/>
      <w:lang w:val="en-US" w:eastAsia="zh-CN" w:bidi="ar-SA"/>
    </w:rPr>
  </w:style>
  <w:style w:type="character" w:customStyle="1" w:styleId="112">
    <w:name w:val="正文文本缩进 2 字符1"/>
    <w:link w:val="47"/>
    <w:qFormat/>
    <w:uiPriority w:val="0"/>
    <w:rPr>
      <w:rFonts w:ascii="黑体" w:hAnsi="Times New Roman" w:eastAsia="黑体" w:cs="Times New Roman"/>
      <w:szCs w:val="24"/>
      <w:lang w:val="en-US" w:eastAsia="zh-CN" w:bidi="ar-SA"/>
    </w:rPr>
  </w:style>
  <w:style w:type="character" w:customStyle="1" w:styleId="113">
    <w:name w:val="ca-91"/>
    <w:qFormat/>
    <w:uiPriority w:val="0"/>
    <w:rPr>
      <w:rFonts w:hint="eastAsia" w:ascii="楷体_GB2312" w:hAnsi="Times New Roman" w:eastAsia="楷体_GB2312" w:cs="Times New Roman"/>
      <w:color w:val="000000"/>
      <w:spacing w:val="20"/>
      <w:sz w:val="96"/>
      <w:szCs w:val="96"/>
      <w:lang w:val="en-US" w:eastAsia="zh-CN" w:bidi="ar-SA"/>
    </w:rPr>
  </w:style>
  <w:style w:type="character" w:customStyle="1" w:styleId="114">
    <w:name w:val="样式 正文文本 Char"/>
    <w:link w:val="115"/>
    <w:qFormat/>
    <w:uiPriority w:val="0"/>
    <w:rPr>
      <w:rFonts w:ascii="Arial" w:hAnsi="Arial" w:eastAsia="宋体" w:cs="宋体"/>
      <w:color w:val="000000"/>
      <w:szCs w:val="20"/>
      <w:lang w:val="en-US" w:eastAsia="zh-CN" w:bidi="ar-SA"/>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eastAsia="宋体" w:cs="Times New Roman"/>
      <w:b/>
      <w:bCs/>
      <w:color w:val="000000"/>
      <w:spacing w:val="-20"/>
      <w:sz w:val="48"/>
      <w:szCs w:val="48"/>
      <w:lang w:val="en-US" w:eastAsia="zh-CN" w:bidi="ar-SA"/>
    </w:rPr>
  </w:style>
  <w:style w:type="character" w:customStyle="1" w:styleId="117">
    <w:name w:val="标题 1 Char1"/>
    <w:qFormat/>
    <w:uiPriority w:val="0"/>
    <w:rPr>
      <w:rFonts w:ascii="Times New Roman" w:hAnsi="Times New Roman" w:eastAsia="宋体" w:cs="Times New Roman"/>
      <w:b/>
      <w:bCs/>
      <w:kern w:val="44"/>
      <w:sz w:val="44"/>
      <w:szCs w:val="44"/>
      <w:lang w:val="en-US" w:eastAsia="zh-CN" w:bidi="ar-SA"/>
    </w:rPr>
  </w:style>
  <w:style w:type="character" w:customStyle="1" w:styleId="118">
    <w:name w:val="ca-471"/>
    <w:qFormat/>
    <w:uiPriority w:val="0"/>
    <w:rPr>
      <w:rFonts w:hint="eastAsia" w:ascii="宋体" w:hAnsi="宋体" w:eastAsia="宋体" w:cs="Times New Roman"/>
      <w:b/>
      <w:bCs/>
      <w:color w:val="000000"/>
      <w:spacing w:val="-20"/>
      <w:sz w:val="24"/>
      <w:szCs w:val="24"/>
      <w:lang w:val="en-US" w:eastAsia="zh-CN" w:bidi="ar-SA"/>
    </w:rPr>
  </w:style>
  <w:style w:type="character" w:customStyle="1" w:styleId="119">
    <w:name w:val="ca-211"/>
    <w:qFormat/>
    <w:uiPriority w:val="0"/>
    <w:rPr>
      <w:rFonts w:hint="eastAsia" w:ascii="宋体" w:hAnsi="宋体" w:eastAsia="宋体" w:cs="Times New Roman"/>
      <w:color w:val="000000"/>
      <w:sz w:val="21"/>
      <w:szCs w:val="21"/>
      <w:lang w:val="en-US" w:eastAsia="zh-CN" w:bidi="ar-SA"/>
    </w:rPr>
  </w:style>
  <w:style w:type="character" w:customStyle="1" w:styleId="120">
    <w:name w:val="ca-451"/>
    <w:qFormat/>
    <w:uiPriority w:val="0"/>
    <w:rPr>
      <w:rFonts w:hint="eastAsia" w:ascii="宋体" w:hAnsi="宋体" w:eastAsia="宋体" w:cs="Times New Roman"/>
      <w:color w:val="000000"/>
      <w:sz w:val="72"/>
      <w:szCs w:val="72"/>
      <w:lang w:val="en-US" w:eastAsia="zh-CN" w:bidi="ar-SA"/>
    </w:rPr>
  </w:style>
  <w:style w:type="character" w:customStyle="1" w:styleId="121">
    <w:name w:val="标题 Char1"/>
    <w:qFormat/>
    <w:uiPriority w:val="0"/>
    <w:rPr>
      <w:rFonts w:ascii="Arial" w:hAnsi="Arial" w:eastAsia="宋体" w:cs="Times New Roman"/>
      <w:b/>
      <w:sz w:val="32"/>
      <w:lang w:val="en-US" w:eastAsia="zh-CN" w:bidi="ar-SA"/>
    </w:rPr>
  </w:style>
  <w:style w:type="character" w:customStyle="1" w:styleId="122">
    <w:name w:val="文档结构图 字符1"/>
    <w:link w:val="27"/>
    <w:qFormat/>
    <w:uiPriority w:val="0"/>
    <w:rPr>
      <w:rFonts w:ascii="Times New Roman" w:hAnsi="Times New Roman" w:eastAsia="宋体" w:cs="Times New Roman"/>
      <w:szCs w:val="24"/>
      <w:lang w:val="en-US" w:eastAsia="zh-CN" w:bidi="ar-SA"/>
    </w:rPr>
  </w:style>
  <w:style w:type="character" w:customStyle="1" w:styleId="123">
    <w:name w:val="zbggtop11 style5"/>
    <w:qFormat/>
    <w:uiPriority w:val="0"/>
    <w:rPr>
      <w:rFonts w:ascii="Times New Roman" w:hAnsi="Times New Roman" w:eastAsia="宋体" w:cs="Times New Roman"/>
      <w:lang w:val="en-US" w:eastAsia="zh-CN" w:bidi="ar-SA"/>
    </w:rPr>
  </w:style>
  <w:style w:type="character" w:customStyle="1" w:styleId="124">
    <w:name w:val="批注主题 字符1"/>
    <w:link w:val="14"/>
    <w:qFormat/>
    <w:uiPriority w:val="0"/>
    <w:rPr>
      <w:rFonts w:ascii="Times New Roman" w:hAnsi="Times New Roman" w:eastAsia="宋体" w:cs="Times New Roman"/>
      <w:b/>
      <w:bCs/>
      <w:lang w:val="en-US" w:eastAsia="zh-CN" w:bidi="ar-SA"/>
    </w:rPr>
  </w:style>
  <w:style w:type="character" w:customStyle="1" w:styleId="125">
    <w:name w:val="页眉 Char1"/>
    <w:qFormat/>
    <w:uiPriority w:val="0"/>
    <w:rPr>
      <w:rFonts w:ascii="Times New Roman" w:hAnsi="Times New Roman" w:eastAsia="宋体" w:cs="Times New Roman"/>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cs="Times New Roman"/>
      <w:b/>
      <w:bCs/>
      <w:kern w:val="2"/>
      <w:sz w:val="32"/>
      <w:szCs w:val="32"/>
      <w:lang w:val="en-US" w:eastAsia="zh-CN" w:bidi="ar-SA"/>
    </w:rPr>
  </w:style>
  <w:style w:type="character" w:customStyle="1" w:styleId="128">
    <w:name w:val="ca-54"/>
    <w:qFormat/>
    <w:uiPriority w:val="0"/>
    <w:rPr>
      <w:rFonts w:hint="eastAsia" w:ascii="宋体" w:hAnsi="宋体" w:eastAsia="宋体" w:cs="Times New Roman"/>
      <w:b/>
      <w:bCs/>
      <w:color w:val="000000"/>
      <w:spacing w:val="40"/>
      <w:sz w:val="48"/>
      <w:szCs w:val="48"/>
      <w:lang w:val="en-US" w:eastAsia="zh-CN" w:bidi="ar-SA"/>
    </w:rPr>
  </w:style>
  <w:style w:type="character" w:customStyle="1" w:styleId="129">
    <w:name w:val="ca-381"/>
    <w:qFormat/>
    <w:uiPriority w:val="0"/>
    <w:rPr>
      <w:rFonts w:hint="default" w:ascii="Times New Roman" w:hAnsi="Times New Roman" w:eastAsia="宋体" w:cs="Times New Roman"/>
      <w:b/>
      <w:bCs/>
      <w:spacing w:val="-20"/>
      <w:sz w:val="21"/>
      <w:szCs w:val="21"/>
      <w:lang w:val="en-US" w:eastAsia="zh-CN" w:bidi="ar-SA"/>
    </w:rPr>
  </w:style>
  <w:style w:type="character" w:customStyle="1" w:styleId="130">
    <w:name w:val="正文文本 字符"/>
    <w:link w:val="3"/>
    <w:qFormat/>
    <w:uiPriority w:val="0"/>
    <w:rPr>
      <w:rFonts w:ascii="Times New Roman" w:hAnsi="Times New Roman" w:eastAsia="宋体" w:cs="Times New Roman"/>
      <w:szCs w:val="24"/>
      <w:lang w:val="en-US" w:eastAsia="zh-CN" w:bidi="ar-SA"/>
    </w:rPr>
  </w:style>
  <w:style w:type="character" w:customStyle="1" w:styleId="131">
    <w:name w:val="批注框文本 字符1"/>
    <w:link w:val="49"/>
    <w:qFormat/>
    <w:uiPriority w:val="0"/>
    <w:rPr>
      <w:rFonts w:ascii="Times New Roman" w:hAnsi="Times New Roman" w:eastAsia="宋体" w:cs="Times New Roman"/>
      <w:sz w:val="18"/>
      <w:szCs w:val="18"/>
      <w:lang w:val="en-US" w:eastAsia="zh-CN" w:bidi="ar-SA"/>
    </w:rPr>
  </w:style>
  <w:style w:type="character" w:customStyle="1" w:styleId="132">
    <w:name w:val="ca-161"/>
    <w:qFormat/>
    <w:uiPriority w:val="0"/>
    <w:rPr>
      <w:rFonts w:hint="eastAsia" w:ascii="宋体" w:hAnsi="宋体" w:eastAsia="宋体" w:cs="Times New Roman"/>
      <w:sz w:val="24"/>
      <w:szCs w:val="24"/>
      <w:lang w:val="en-US" w:eastAsia="zh-CN" w:bidi="ar-SA"/>
    </w:rPr>
  </w:style>
  <w:style w:type="character" w:customStyle="1" w:styleId="133">
    <w:name w:val="尾注文本 字符1"/>
    <w:link w:val="48"/>
    <w:qFormat/>
    <w:uiPriority w:val="0"/>
    <w:rPr>
      <w:rFonts w:ascii="Times New Roman" w:hAnsi="Times New Roman" w:eastAsia="宋体" w:cs="Times New Roman"/>
      <w:szCs w:val="20"/>
      <w:lang w:val="en-US" w:eastAsia="zh-CN" w:bidi="ar-SA"/>
    </w:rPr>
  </w:style>
  <w:style w:type="character" w:customStyle="1" w:styleId="134">
    <w:name w:val="zbggmainstyle9"/>
    <w:qFormat/>
    <w:uiPriority w:val="0"/>
    <w:rPr>
      <w:rFonts w:ascii="Times New Roman" w:hAnsi="Times New Roman" w:eastAsia="宋体" w:cs="Times New Roman"/>
      <w:lang w:val="en-US" w:eastAsia="zh-CN" w:bidi="ar-SA"/>
    </w:rPr>
  </w:style>
  <w:style w:type="character" w:customStyle="1" w:styleId="135">
    <w:name w:val="ca-171"/>
    <w:qFormat/>
    <w:uiPriority w:val="0"/>
    <w:rPr>
      <w:rFonts w:hint="default" w:ascii="Times New Roman" w:hAnsi="Times New Roman" w:eastAsia="宋体" w:cs="Times New Roman"/>
      <w:b/>
      <w:bCs/>
      <w:spacing w:val="-20"/>
      <w:sz w:val="24"/>
      <w:szCs w:val="24"/>
      <w:lang w:val="en-US" w:eastAsia="zh-CN" w:bidi="ar-SA"/>
    </w:rPr>
  </w:style>
  <w:style w:type="character" w:customStyle="1" w:styleId="136">
    <w:name w:val="ca-301"/>
    <w:qFormat/>
    <w:uiPriority w:val="0"/>
    <w:rPr>
      <w:rFonts w:hint="default" w:ascii="??" w:hAnsi="??" w:eastAsia="宋体" w:cs="Times New Roman"/>
      <w:color w:val="002060"/>
      <w:sz w:val="21"/>
      <w:szCs w:val="21"/>
      <w:lang w:val="en-US" w:eastAsia="zh-CN" w:bidi="ar-SA"/>
    </w:rPr>
  </w:style>
  <w:style w:type="character" w:customStyle="1" w:styleId="137">
    <w:name w:val="ca-271"/>
    <w:qFormat/>
    <w:uiPriority w:val="0"/>
    <w:rPr>
      <w:rFonts w:hint="eastAsia" w:ascii="宋体" w:hAnsi="宋体" w:eastAsia="宋体" w:cs="Times New Roman"/>
      <w:b/>
      <w:bCs/>
      <w:color w:val="002060"/>
      <w:spacing w:val="-20"/>
      <w:sz w:val="21"/>
      <w:szCs w:val="21"/>
      <w:lang w:val="en-US" w:eastAsia="zh-CN" w:bidi="ar-SA"/>
    </w:rPr>
  </w:style>
  <w:style w:type="character" w:customStyle="1" w:styleId="138">
    <w:name w:val="ca-351"/>
    <w:qFormat/>
    <w:uiPriority w:val="0"/>
    <w:rPr>
      <w:rFonts w:hint="default" w:ascii="Times New Roman" w:hAnsi="Times New Roman" w:eastAsia="宋体" w:cs="Times New Roman"/>
      <w:sz w:val="10"/>
      <w:szCs w:val="10"/>
      <w:lang w:val="en-US" w:eastAsia="zh-CN" w:bidi="ar-SA"/>
    </w:rPr>
  </w:style>
  <w:style w:type="character" w:customStyle="1" w:styleId="139">
    <w:name w:val="ca-481"/>
    <w:qFormat/>
    <w:uiPriority w:val="0"/>
    <w:rPr>
      <w:rFonts w:hint="eastAsia" w:ascii="宋体" w:hAnsi="宋体" w:eastAsia="宋体" w:cs="Times New Roman"/>
      <w:color w:val="000000"/>
      <w:sz w:val="26"/>
      <w:szCs w:val="26"/>
      <w:lang w:val="en-US" w:eastAsia="zh-CN" w:bidi="ar-SA"/>
    </w:rPr>
  </w:style>
  <w:style w:type="character" w:customStyle="1" w:styleId="140">
    <w:name w:val="ca-371"/>
    <w:qFormat/>
    <w:uiPriority w:val="0"/>
    <w:rPr>
      <w:rFonts w:hint="eastAsia" w:ascii="宋体" w:hAnsi="宋体" w:eastAsia="宋体" w:cs="Times New Roman"/>
      <w:color w:val="000000"/>
      <w:spacing w:val="0"/>
      <w:sz w:val="21"/>
      <w:szCs w:val="21"/>
      <w:lang w:val="en-US" w:eastAsia="zh-CN" w:bidi="ar-SA"/>
    </w:rPr>
  </w:style>
  <w:style w:type="character" w:customStyle="1" w:styleId="141">
    <w:name w:val="ca-121"/>
    <w:qFormat/>
    <w:uiPriority w:val="0"/>
    <w:rPr>
      <w:rFonts w:hint="default" w:ascii="Times New Roman" w:hAnsi="Times New Roman" w:eastAsia="宋体" w:cs="Times New Roman"/>
      <w:color w:val="000000"/>
      <w:sz w:val="32"/>
      <w:szCs w:val="32"/>
      <w:lang w:val="en-US" w:eastAsia="zh-CN" w:bidi="ar-SA"/>
    </w:rPr>
  </w:style>
  <w:style w:type="character" w:customStyle="1" w:styleId="142">
    <w:name w:val="font161"/>
    <w:qFormat/>
    <w:uiPriority w:val="0"/>
    <w:rPr>
      <w:rFonts w:ascii="Times New Roman" w:hAnsi="Times New Roman" w:eastAsia="宋体" w:cs="Times New Roman"/>
      <w:b/>
      <w:bCs/>
      <w:sz w:val="32"/>
      <w:szCs w:val="32"/>
      <w:lang w:val="en-US" w:eastAsia="zh-CN" w:bidi="ar-SA"/>
    </w:rPr>
  </w:style>
  <w:style w:type="character" w:customStyle="1" w:styleId="143">
    <w:name w:val="ca-131"/>
    <w:qFormat/>
    <w:uiPriority w:val="0"/>
    <w:rPr>
      <w:rFonts w:hint="eastAsia" w:ascii="宋体" w:hAnsi="宋体" w:eastAsia="宋体" w:cs="Times New Roman"/>
      <w:color w:val="000000"/>
      <w:sz w:val="32"/>
      <w:szCs w:val="32"/>
      <w:lang w:val="en-US" w:eastAsia="zh-CN" w:bidi="ar-SA"/>
    </w:rPr>
  </w:style>
  <w:style w:type="character" w:customStyle="1" w:styleId="144">
    <w:name w:val="ca-181"/>
    <w:qFormat/>
    <w:uiPriority w:val="0"/>
    <w:rPr>
      <w:rFonts w:hint="eastAsia" w:ascii="宋体" w:hAnsi="宋体" w:eastAsia="宋体" w:cs="Times New Roman"/>
      <w:color w:val="000000"/>
      <w:sz w:val="18"/>
      <w:szCs w:val="18"/>
      <w:lang w:val="en-US" w:eastAsia="zh-CN" w:bidi="ar-SA"/>
    </w:rPr>
  </w:style>
  <w:style w:type="character" w:customStyle="1" w:styleId="145">
    <w:name w:val="style11"/>
    <w:qFormat/>
    <w:uiPriority w:val="0"/>
    <w:rPr>
      <w:rFonts w:ascii="Times New Roman" w:hAnsi="Times New Roman" w:eastAsia="宋体" w:cs="Times New Roman"/>
      <w:sz w:val="27"/>
      <w:szCs w:val="27"/>
      <w:lang w:val="en-US" w:eastAsia="zh-CN" w:bidi="ar-SA"/>
    </w:rPr>
  </w:style>
  <w:style w:type="character" w:customStyle="1" w:styleId="146">
    <w:name w:val="ca-431"/>
    <w:qFormat/>
    <w:uiPriority w:val="0"/>
    <w:rPr>
      <w:rFonts w:hint="eastAsia" w:ascii="宋体" w:hAnsi="宋体" w:eastAsia="宋体" w:cs="Times New Roman"/>
      <w:color w:val="000000"/>
      <w:sz w:val="44"/>
      <w:szCs w:val="44"/>
      <w:lang w:val="en-US" w:eastAsia="zh-CN" w:bidi="ar-SA"/>
    </w:rPr>
  </w:style>
  <w:style w:type="character" w:customStyle="1" w:styleId="147">
    <w:name w:val="by jerry Char Char"/>
    <w:qFormat/>
    <w:uiPriority w:val="0"/>
    <w:rPr>
      <w:rFonts w:ascii="Times New Roman" w:hAnsi="Times New Roman" w:eastAsia="宋体" w:cs="Times New Roman"/>
      <w:b/>
      <w:bCs/>
      <w:kern w:val="44"/>
      <w:sz w:val="32"/>
      <w:szCs w:val="44"/>
      <w:lang w:val="en-US" w:eastAsia="zh-CN" w:bidi="ar-SA"/>
    </w:rPr>
  </w:style>
  <w:style w:type="character" w:customStyle="1" w:styleId="148">
    <w:name w:val="ca-281"/>
    <w:qFormat/>
    <w:uiPriority w:val="0"/>
    <w:rPr>
      <w:rFonts w:hint="eastAsia" w:ascii="宋体" w:hAnsi="宋体" w:eastAsia="宋体" w:cs="Times New Roman"/>
      <w:color w:val="FF0000"/>
      <w:sz w:val="21"/>
      <w:szCs w:val="21"/>
      <w:lang w:val="en-US" w:eastAsia="zh-CN" w:bidi="ar-SA"/>
    </w:rPr>
  </w:style>
  <w:style w:type="character" w:customStyle="1" w:styleId="149">
    <w:name w:val="页脚 Char1"/>
    <w:qFormat/>
    <w:uiPriority w:val="0"/>
    <w:rPr>
      <w:rFonts w:ascii="Times New Roman" w:hAnsi="Times New Roman" w:eastAsia="宋体" w:cs="Times New Roman"/>
      <w:kern w:val="2"/>
      <w:sz w:val="18"/>
      <w:szCs w:val="18"/>
      <w:lang w:val="en-US" w:eastAsia="zh-CN" w:bidi="ar-SA"/>
    </w:rPr>
  </w:style>
  <w:style w:type="character" w:customStyle="1" w:styleId="150">
    <w:name w:val="表正文 Char1"/>
    <w:qFormat/>
    <w:uiPriority w:val="0"/>
    <w:rPr>
      <w:rFonts w:ascii="Times New Roman" w:hAnsi="Times New Roman" w:eastAsia="宋体" w:cs="Times New Roman"/>
      <w:kern w:val="2"/>
      <w:sz w:val="21"/>
      <w:szCs w:val="24"/>
      <w:lang w:val="en-US" w:eastAsia="zh-CN" w:bidi="ar-SA"/>
    </w:rPr>
  </w:style>
  <w:style w:type="character" w:customStyle="1" w:styleId="151">
    <w:name w:val="批注文字 字符1"/>
    <w:link w:val="15"/>
    <w:qFormat/>
    <w:uiPriority w:val="0"/>
    <w:rPr>
      <w:rFonts w:ascii="Times New Roman" w:hAnsi="Times New Roman" w:eastAsia="宋体" w:cs="Times New Roman"/>
      <w:szCs w:val="24"/>
      <w:lang w:val="en-US" w:eastAsia="zh-CN" w:bidi="ar-SA"/>
    </w:rPr>
  </w:style>
  <w:style w:type="character" w:customStyle="1" w:styleId="152">
    <w:name w:val="2nd level Char"/>
    <w:qFormat/>
    <w:uiPriority w:val="0"/>
    <w:rPr>
      <w:rFonts w:ascii="Arial" w:hAnsi="Arial" w:eastAsia="宋体" w:cs="Times New Roman"/>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4">
    <w:name w:val="ca-411"/>
    <w:qFormat/>
    <w:uiPriority w:val="0"/>
    <w:rPr>
      <w:rFonts w:hint="eastAsia" w:ascii="宋体" w:hAnsi="宋体" w:eastAsia="宋体" w:cs="Times New Roman"/>
      <w:b/>
      <w:bCs/>
      <w:color w:val="000000"/>
      <w:spacing w:val="-20"/>
      <w:sz w:val="32"/>
      <w:szCs w:val="32"/>
      <w:lang w:val="en-US" w:eastAsia="zh-CN" w:bidi="ar-SA"/>
    </w:rPr>
  </w:style>
  <w:style w:type="character" w:customStyle="1" w:styleId="155">
    <w:name w:val="正文首行缩进 字符"/>
    <w:link w:val="2"/>
    <w:qFormat/>
    <w:uiPriority w:val="0"/>
    <w:rPr>
      <w:rFonts w:ascii="Times New Roman" w:hAnsi="Times New Roman" w:eastAsia="宋体" w:cs="Times New Roman"/>
      <w:lang w:val="en-US" w:eastAsia="zh-CN" w:bidi="ar-SA"/>
    </w:rPr>
  </w:style>
  <w:style w:type="character" w:customStyle="1" w:styleId="156">
    <w:name w:val="ca-151"/>
    <w:qFormat/>
    <w:uiPriority w:val="0"/>
    <w:rPr>
      <w:rFonts w:hint="eastAsia" w:ascii="宋体" w:hAnsi="宋体" w:eastAsia="宋体" w:cs="Times New Roman"/>
      <w:caps/>
      <w:color w:val="000000"/>
      <w:sz w:val="24"/>
      <w:szCs w:val="24"/>
      <w:lang w:val="en-US" w:eastAsia="zh-CN" w:bidi="ar-SA"/>
    </w:rPr>
  </w:style>
  <w:style w:type="character" w:customStyle="1" w:styleId="157">
    <w:name w:val="ca-421"/>
    <w:qFormat/>
    <w:uiPriority w:val="0"/>
    <w:rPr>
      <w:rFonts w:hint="eastAsia" w:ascii="宋体" w:hAnsi="宋体" w:eastAsia="宋体" w:cs="Times New Roman"/>
      <w:color w:val="000000"/>
      <w:sz w:val="36"/>
      <w:szCs w:val="36"/>
      <w:lang w:val="en-US" w:eastAsia="zh-CN" w:bidi="ar-SA"/>
    </w:rPr>
  </w:style>
  <w:style w:type="character" w:customStyle="1" w:styleId="158">
    <w:name w:val="ca-491"/>
    <w:qFormat/>
    <w:uiPriority w:val="0"/>
    <w:rPr>
      <w:rFonts w:hint="eastAsia" w:ascii="宋体" w:hAnsi="宋体" w:eastAsia="宋体" w:cs="Times New Roman"/>
      <w:spacing w:val="0"/>
      <w:sz w:val="32"/>
      <w:szCs w:val="32"/>
      <w:lang w:val="en-US" w:eastAsia="zh-CN" w:bidi="ar-SA"/>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eastAsia="宋体" w:cs="Times New Roman"/>
      <w:color w:val="000000"/>
      <w:sz w:val="18"/>
      <w:szCs w:val="18"/>
      <w:lang w:val="en-US" w:eastAsia="zh-CN" w:bidi="ar-SA"/>
    </w:rPr>
  </w:style>
  <w:style w:type="character" w:customStyle="1" w:styleId="161">
    <w:name w:val="ca-391"/>
    <w:qFormat/>
    <w:uiPriority w:val="0"/>
    <w:rPr>
      <w:rFonts w:hint="eastAsia" w:ascii="宋体" w:hAnsi="宋体" w:eastAsia="宋体" w:cs="Times New Roman"/>
      <w:b/>
      <w:bCs/>
      <w:color w:val="000000"/>
      <w:spacing w:val="-20"/>
      <w:sz w:val="28"/>
      <w:szCs w:val="28"/>
      <w:lang w:val="en-US" w:eastAsia="zh-CN" w:bidi="ar-SA"/>
    </w:rPr>
  </w:style>
  <w:style w:type="character" w:customStyle="1" w:styleId="162">
    <w:name w:val="ca-191"/>
    <w:qFormat/>
    <w:uiPriority w:val="0"/>
    <w:rPr>
      <w:rFonts w:hint="default" w:ascii="Times New Roman" w:hAnsi="Times New Roman" w:eastAsia="宋体" w:cs="Times New Roman"/>
      <w:sz w:val="18"/>
      <w:szCs w:val="18"/>
      <w:lang w:val="en-US" w:eastAsia="zh-CN" w:bidi="ar-SA"/>
    </w:rPr>
  </w:style>
  <w:style w:type="character" w:customStyle="1" w:styleId="163">
    <w:name w:val="ca-501"/>
    <w:qFormat/>
    <w:uiPriority w:val="0"/>
    <w:rPr>
      <w:rFonts w:hint="eastAsia" w:ascii="宋体" w:hAnsi="宋体" w:eastAsia="宋体" w:cs="Times New Roman"/>
      <w:spacing w:val="0"/>
      <w:sz w:val="24"/>
      <w:szCs w:val="24"/>
      <w:lang w:val="en-US" w:eastAsia="zh-CN" w:bidi="ar-SA"/>
    </w:rPr>
  </w:style>
  <w:style w:type="character" w:customStyle="1" w:styleId="164">
    <w:name w:val="ca-410"/>
    <w:qFormat/>
    <w:uiPriority w:val="0"/>
    <w:rPr>
      <w:rFonts w:hint="eastAsia" w:ascii="宋体" w:hAnsi="宋体" w:eastAsia="宋体" w:cs="Times New Roman"/>
      <w:b/>
      <w:bCs/>
      <w:color w:val="000000"/>
      <w:spacing w:val="-20"/>
      <w:sz w:val="48"/>
      <w:szCs w:val="48"/>
      <w:lang w:val="en-US" w:eastAsia="zh-CN" w:bidi="ar-SA"/>
    </w:rPr>
  </w:style>
  <w:style w:type="character" w:customStyle="1" w:styleId="165">
    <w:name w:val="ca-241"/>
    <w:qFormat/>
    <w:uiPriority w:val="0"/>
    <w:rPr>
      <w:rFonts w:hint="eastAsia" w:ascii="宋体" w:hAnsi="宋体" w:eastAsia="宋体" w:cs="Times New Roman"/>
      <w:sz w:val="24"/>
      <w:szCs w:val="24"/>
      <w:lang w:val="en-US" w:eastAsia="zh-CN" w:bidi="ar-SA"/>
    </w:rPr>
  </w:style>
  <w:style w:type="character" w:customStyle="1" w:styleId="166">
    <w:name w:val="页码1"/>
    <w:qFormat/>
    <w:uiPriority w:val="0"/>
    <w:rPr>
      <w:rFonts w:ascii="Times New Roman" w:hAnsi="Times New Roman" w:eastAsia="宋体" w:cs="Times New Roman"/>
      <w:lang w:val="en-US" w:eastAsia="zh-CN" w:bidi="ar-SA"/>
    </w:rPr>
  </w:style>
  <w:style w:type="character" w:customStyle="1" w:styleId="167">
    <w:name w:val="ca-231"/>
    <w:qFormat/>
    <w:uiPriority w:val="0"/>
    <w:rPr>
      <w:rFonts w:hint="default" w:ascii="Times New Roman" w:hAnsi="Times New Roman" w:eastAsia="宋体" w:cs="Times New Roman"/>
      <w:sz w:val="21"/>
      <w:szCs w:val="21"/>
      <w:lang w:val="en-US" w:eastAsia="zh-CN" w:bidi="ar-SA"/>
    </w:rPr>
  </w:style>
  <w:style w:type="character" w:customStyle="1" w:styleId="168">
    <w:name w:val="apple-style-span"/>
    <w:qFormat/>
    <w:uiPriority w:val="0"/>
    <w:rPr>
      <w:rFonts w:ascii="Times New Roman" w:hAnsi="Times New Roman" w:eastAsia="宋体" w:cs="Times New Roman"/>
      <w:lang w:val="en-US" w:eastAsia="zh-CN" w:bidi="ar-SA"/>
    </w:rPr>
  </w:style>
  <w:style w:type="character" w:customStyle="1" w:styleId="169">
    <w:name w:val="ca-521"/>
    <w:qFormat/>
    <w:uiPriority w:val="0"/>
    <w:rPr>
      <w:rFonts w:hint="eastAsia" w:ascii="宋体" w:hAnsi="宋体" w:eastAsia="宋体" w:cs="Times New Roman"/>
      <w:b/>
      <w:bCs/>
      <w:spacing w:val="-20"/>
      <w:sz w:val="36"/>
      <w:szCs w:val="36"/>
      <w:lang w:val="en-US" w:eastAsia="zh-CN" w:bidi="ar-SA"/>
    </w:rPr>
  </w:style>
  <w:style w:type="character" w:customStyle="1" w:styleId="170">
    <w:name w:val="ca-291"/>
    <w:qFormat/>
    <w:uiPriority w:val="0"/>
    <w:rPr>
      <w:rFonts w:hint="eastAsia" w:ascii="宋体" w:hAnsi="宋体" w:eastAsia="宋体" w:cs="Times New Roman"/>
      <w:color w:val="7030A0"/>
      <w:sz w:val="21"/>
      <w:szCs w:val="21"/>
      <w:lang w:val="en-US" w:eastAsia="zh-CN" w:bidi="ar-SA"/>
    </w:rPr>
  </w:style>
  <w:style w:type="character" w:customStyle="1" w:styleId="171">
    <w:name w:val="Footer-Even Char"/>
    <w:qFormat/>
    <w:uiPriority w:val="0"/>
    <w:rPr>
      <w:rFonts w:ascii="Times New Roman" w:hAnsi="Times New Roman" w:eastAsia="宋体" w:cs="Times New Roman"/>
      <w:kern w:val="2"/>
      <w:sz w:val="18"/>
      <w:szCs w:val="18"/>
      <w:lang w:val="en-US" w:eastAsia="zh-CN" w:bidi="ar-SA"/>
    </w:rPr>
  </w:style>
  <w:style w:type="character" w:customStyle="1" w:styleId="172">
    <w:name w:val="正文文本 3 字符1"/>
    <w:link w:val="31"/>
    <w:qFormat/>
    <w:uiPriority w:val="0"/>
    <w:rPr>
      <w:rFonts w:ascii="宋体" w:hAnsi="Times New Roman" w:eastAsia="宋体" w:cs="Times New Roman"/>
      <w:sz w:val="24"/>
      <w:szCs w:val="20"/>
      <w:lang w:val="en-US" w:eastAsia="zh-CN" w:bidi="ar-SA"/>
    </w:rPr>
  </w:style>
  <w:style w:type="character" w:customStyle="1" w:styleId="173">
    <w:name w:val="Char Char9"/>
    <w:qFormat/>
    <w:uiPriority w:val="0"/>
    <w:rPr>
      <w:rFonts w:ascii="Times New Roman" w:hAnsi="Times New Roman" w:eastAsia="宋体" w:cs="Times New Roman"/>
      <w:color w:val="000000"/>
      <w:kern w:val="2"/>
      <w:sz w:val="24"/>
      <w:lang w:val="en-US" w:eastAsia="zh-CN" w:bidi="ar-SA"/>
    </w:rPr>
  </w:style>
  <w:style w:type="character" w:customStyle="1" w:styleId="174">
    <w:name w:val="Body Text Indent Char"/>
    <w:semiHidden/>
    <w:qFormat/>
    <w:locked/>
    <w:uiPriority w:val="0"/>
    <w:rPr>
      <w:rFonts w:ascii="Times New Roman" w:hAnsi="Times New Roman"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eastAsia="宋体" w:cs="Times New Roman"/>
      <w:color w:val="000000"/>
      <w:sz w:val="52"/>
      <w:szCs w:val="52"/>
      <w:lang w:val="en-US" w:eastAsia="zh-CN" w:bidi="ar-SA"/>
    </w:rPr>
  </w:style>
  <w:style w:type="character" w:customStyle="1" w:styleId="176">
    <w:name w:val="ca-441"/>
    <w:qFormat/>
    <w:uiPriority w:val="0"/>
    <w:rPr>
      <w:rFonts w:hint="eastAsia" w:ascii="宋体" w:hAnsi="宋体" w:eastAsia="宋体" w:cs="Times New Roman"/>
      <w:color w:val="000000"/>
      <w:sz w:val="52"/>
      <w:szCs w:val="52"/>
      <w:lang w:val="en-US" w:eastAsia="zh-CN" w:bidi="ar-SA"/>
    </w:rPr>
  </w:style>
  <w:style w:type="character" w:customStyle="1" w:styleId="177">
    <w:name w:val="ca-81"/>
    <w:qFormat/>
    <w:uiPriority w:val="0"/>
    <w:rPr>
      <w:rFonts w:hint="eastAsia" w:ascii="宋体" w:hAnsi="宋体" w:eastAsia="宋体" w:cs="Times New Roman"/>
      <w:color w:val="000000"/>
      <w:sz w:val="28"/>
      <w:szCs w:val="28"/>
      <w:lang w:val="en-US" w:eastAsia="zh-CN" w:bidi="ar-SA"/>
    </w:rPr>
  </w:style>
  <w:style w:type="character" w:customStyle="1" w:styleId="178">
    <w:name w:val="正文首行缩进 Char"/>
    <w:qFormat/>
    <w:uiPriority w:val="0"/>
    <w:rPr>
      <w:rFonts w:ascii="Times New Roman" w:hAnsi="Times New Roman" w:eastAsia="宋体" w:cs="Times New Roman"/>
      <w:lang w:val="en-US" w:eastAsia="zh-CN" w:bidi="ar-SA"/>
    </w:rPr>
  </w:style>
  <w:style w:type="character" w:customStyle="1" w:styleId="179">
    <w:name w:val="正文文字4 Char Char"/>
    <w:qFormat/>
    <w:uiPriority w:val="0"/>
    <w:rPr>
      <w:rFonts w:ascii="Times New Roman" w:hAnsi="Times New Roman" w:eastAsia="宋体" w:cs="Times New Roman"/>
      <w:kern w:val="2"/>
      <w:sz w:val="21"/>
      <w:szCs w:val="24"/>
      <w:lang w:val="en-US" w:eastAsia="zh-CN" w:bidi="ar-SA"/>
    </w:rPr>
  </w:style>
  <w:style w:type="character" w:customStyle="1" w:styleId="180">
    <w:name w:val="style91"/>
    <w:qFormat/>
    <w:uiPriority w:val="0"/>
    <w:rPr>
      <w:rFonts w:ascii="Times New Roman" w:hAnsi="Times New Roman" w:eastAsia="宋体" w:cs="Times New Roman"/>
      <w:sz w:val="23"/>
      <w:szCs w:val="23"/>
      <w:lang w:val="en-US" w:eastAsia="zh-CN" w:bidi="ar-SA"/>
    </w:rPr>
  </w:style>
  <w:style w:type="character" w:customStyle="1" w:styleId="181">
    <w:name w:val="ca-361"/>
    <w:qFormat/>
    <w:uiPriority w:val="0"/>
    <w:rPr>
      <w:rFonts w:hint="eastAsia" w:ascii="宋体" w:hAnsi="宋体" w:eastAsia="宋体" w:cs="Times New Roman"/>
      <w:b/>
      <w:bCs/>
      <w:spacing w:val="-20"/>
      <w:sz w:val="21"/>
      <w:szCs w:val="21"/>
      <w:lang w:val="en-US" w:eastAsia="zh-CN" w:bidi="ar-SA"/>
    </w:rPr>
  </w:style>
  <w:style w:type="character" w:customStyle="1" w:styleId="182">
    <w:name w:val="ca-141"/>
    <w:qFormat/>
    <w:uiPriority w:val="0"/>
    <w:rPr>
      <w:rFonts w:hint="default" w:ascii="Times New Roman" w:hAnsi="Times New Roman" w:eastAsia="宋体" w:cs="Times New Roman"/>
      <w:color w:val="000000"/>
      <w:sz w:val="24"/>
      <w:szCs w:val="24"/>
      <w:lang w:val="en-US" w:eastAsia="zh-CN" w:bidi="ar-SA"/>
    </w:rPr>
  </w:style>
  <w:style w:type="character" w:customStyle="1" w:styleId="183">
    <w:name w:val="Char Char1"/>
    <w:qFormat/>
    <w:uiPriority w:val="0"/>
    <w:rPr>
      <w:rFonts w:ascii="Arial" w:hAnsi="Arial" w:eastAsia="黑体" w:cs="Times New Roman"/>
      <w:b/>
      <w:bCs/>
      <w:kern w:val="2"/>
      <w:sz w:val="32"/>
      <w:szCs w:val="32"/>
      <w:lang w:val="en-US" w:eastAsia="zh-CN" w:bidi="ar-SA"/>
    </w:rPr>
  </w:style>
  <w:style w:type="character" w:customStyle="1" w:styleId="184">
    <w:name w:val="Heading 3 - old Char"/>
    <w:qFormat/>
    <w:uiPriority w:val="0"/>
    <w:rPr>
      <w:rFonts w:ascii="Times New Roman" w:hAnsi="Times New Roman" w:eastAsia="宋体" w:cs="Times New Roman"/>
      <w:b/>
      <w:bCs/>
      <w:kern w:val="2"/>
      <w:sz w:val="21"/>
      <w:szCs w:val="32"/>
      <w:lang w:val="en-US" w:eastAsia="zh-CN" w:bidi="ar-SA"/>
    </w:rPr>
  </w:style>
  <w:style w:type="character" w:customStyle="1" w:styleId="185">
    <w:name w:val="ca-461"/>
    <w:qFormat/>
    <w:uiPriority w:val="0"/>
    <w:rPr>
      <w:rFonts w:hint="eastAsia" w:ascii="宋体" w:hAnsi="宋体" w:eastAsia="宋体" w:cs="Times New Roman"/>
      <w:color w:val="000000"/>
      <w:spacing w:val="-20"/>
      <w:sz w:val="28"/>
      <w:szCs w:val="28"/>
      <w:lang w:val="en-US" w:eastAsia="zh-CN" w:bidi="ar-SA"/>
    </w:rPr>
  </w:style>
  <w:style w:type="character" w:customStyle="1" w:styleId="186">
    <w:name w:val="脚注文本 字符"/>
    <w:link w:val="60"/>
    <w:qFormat/>
    <w:uiPriority w:val="0"/>
    <w:rPr>
      <w:rFonts w:ascii="Times New Roman" w:hAnsi="Times New Roman" w:eastAsia="宋体" w:cs="Times New Roman"/>
      <w:sz w:val="18"/>
      <w:szCs w:val="20"/>
      <w:lang w:val="en-US" w:eastAsia="zh-CN" w:bidi="ar-SA"/>
    </w:rPr>
  </w:style>
  <w:style w:type="character" w:customStyle="1" w:styleId="187">
    <w:name w:val="批注文字 Char"/>
    <w:qFormat/>
    <w:uiPriority w:val="0"/>
    <w:rPr>
      <w:rFonts w:ascii="Times New Roman" w:hAnsi="Times New Roman" w:eastAsia="宋体" w:cs="Times New Roman"/>
      <w:kern w:val="2"/>
      <w:sz w:val="21"/>
      <w:szCs w:val="24"/>
      <w:lang w:val="en-US" w:eastAsia="zh-CN" w:bidi="ar-SA"/>
    </w:rPr>
  </w:style>
  <w:style w:type="character" w:customStyle="1" w:styleId="188">
    <w:name w:val="ca-321"/>
    <w:qFormat/>
    <w:uiPriority w:val="0"/>
    <w:rPr>
      <w:rFonts w:hint="eastAsia" w:ascii="宋体" w:hAnsi="宋体" w:eastAsia="宋体" w:cs="Times New Roman"/>
      <w:b/>
      <w:bCs/>
      <w:color w:val="C00000"/>
      <w:spacing w:val="-20"/>
      <w:sz w:val="21"/>
      <w:szCs w:val="21"/>
      <w:lang w:val="en-US" w:eastAsia="zh-CN" w:bidi="ar-SA"/>
    </w:rPr>
  </w:style>
  <w:style w:type="character" w:customStyle="1" w:styleId="189">
    <w:name w:val="ca-511"/>
    <w:qFormat/>
    <w:uiPriority w:val="0"/>
    <w:rPr>
      <w:rFonts w:hint="default" w:ascii="Times New Roman" w:hAnsi="Times New Roman" w:eastAsia="宋体" w:cs="Times New Roman"/>
      <w:b/>
      <w:bCs/>
      <w:color w:val="000000"/>
      <w:spacing w:val="-20"/>
      <w:sz w:val="32"/>
      <w:szCs w:val="32"/>
      <w:lang w:val="en-US" w:eastAsia="zh-CN" w:bidi="ar-SA"/>
    </w:rPr>
  </w:style>
  <w:style w:type="character" w:customStyle="1" w:styleId="190">
    <w:name w:val="Char Char12"/>
    <w:qFormat/>
    <w:uiPriority w:val="0"/>
    <w:rPr>
      <w:rFonts w:ascii="Arial" w:hAnsi="Arial" w:eastAsia="宋体" w:cs="Times New Roman"/>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lang w:val="en-US" w:eastAsia="zh-CN" w:bidi="ar-SA"/>
    </w:rPr>
  </w:style>
  <w:style w:type="character" w:customStyle="1" w:styleId="192">
    <w:name w:val="批注主题 Char"/>
    <w:qFormat/>
    <w:uiPriority w:val="0"/>
    <w:rPr>
      <w:rFonts w:ascii="Times New Roman" w:hAnsi="Times New Roman" w:eastAsia="宋体" w:cs="Times New Roman"/>
      <w:b/>
      <w:bCs/>
      <w:kern w:val="2"/>
      <w:sz w:val="21"/>
      <w:szCs w:val="24"/>
      <w:lang w:val="en-US" w:eastAsia="zh-CN" w:bidi="ar-SA"/>
    </w:rPr>
  </w:style>
  <w:style w:type="character" w:customStyle="1" w:styleId="193">
    <w:name w:val="纯文本 字符1"/>
    <w:link w:val="41"/>
    <w:qFormat/>
    <w:uiPriority w:val="0"/>
    <w:rPr>
      <w:rFonts w:ascii="宋体" w:hAnsi="Courier New" w:eastAsia="宋体" w:cs="Courier New"/>
      <w:szCs w:val="21"/>
      <w:lang w:val="en-US" w:eastAsia="zh-CN" w:bidi="ar-SA"/>
    </w:rPr>
  </w:style>
  <w:style w:type="character" w:customStyle="1" w:styleId="194">
    <w:name w:val="正文文本缩进 字符1"/>
    <w:link w:val="33"/>
    <w:qFormat/>
    <w:uiPriority w:val="0"/>
    <w:rPr>
      <w:rFonts w:ascii="Times New Roman" w:hAnsi="Times New Roman" w:eastAsia="宋体" w:cs="Times New Roman"/>
      <w:szCs w:val="24"/>
      <w:lang w:val="en-US" w:eastAsia="zh-CN" w:bidi="ar-SA"/>
    </w:rPr>
  </w:style>
  <w:style w:type="character" w:customStyle="1" w:styleId="195">
    <w:name w:val="ca-311"/>
    <w:qFormat/>
    <w:uiPriority w:val="0"/>
    <w:rPr>
      <w:rFonts w:hint="default" w:ascii="??" w:hAnsi="??" w:eastAsia="宋体" w:cs="Times New Roman"/>
      <w:color w:val="000000"/>
      <w:sz w:val="21"/>
      <w:szCs w:val="21"/>
      <w:lang w:val="en-US" w:eastAsia="zh-CN" w:bidi="ar-SA"/>
    </w:rPr>
  </w:style>
  <w:style w:type="character" w:customStyle="1" w:styleId="196">
    <w:name w:val="ca-531"/>
    <w:qFormat/>
    <w:uiPriority w:val="0"/>
    <w:rPr>
      <w:rFonts w:hint="default" w:ascii="Times New Roman" w:hAnsi="Times New Roman" w:eastAsia="宋体" w:cs="Times New Roman"/>
      <w:b/>
      <w:bCs/>
      <w:spacing w:val="-20"/>
      <w:sz w:val="36"/>
      <w:szCs w:val="36"/>
      <w:lang w:val="en-US" w:eastAsia="zh-CN" w:bidi="ar-SA"/>
    </w:rPr>
  </w:style>
  <w:style w:type="character" w:customStyle="1" w:styleId="197">
    <w:name w:val="ca-111"/>
    <w:qFormat/>
    <w:uiPriority w:val="0"/>
    <w:rPr>
      <w:rFonts w:hint="default" w:ascii="Times New Roman" w:hAnsi="Times New Roman" w:eastAsia="宋体" w:cs="Times New Roman"/>
      <w:color w:val="000000"/>
      <w:sz w:val="30"/>
      <w:szCs w:val="30"/>
      <w:lang w:val="en-US" w:eastAsia="zh-CN" w:bidi="ar-SA"/>
    </w:rPr>
  </w:style>
  <w:style w:type="character" w:customStyle="1" w:styleId="198">
    <w:name w:val="日期 Char"/>
    <w:qFormat/>
    <w:uiPriority w:val="0"/>
    <w:rPr>
      <w:rFonts w:ascii="Times New Roman" w:hAnsi="Times New Roman" w:eastAsia="宋体" w:cs="Times New Roman"/>
      <w:kern w:val="2"/>
      <w:sz w:val="21"/>
      <w:szCs w:val="24"/>
      <w:lang w:val="en-US" w:eastAsia="zh-CN" w:bidi="ar-SA"/>
    </w:rPr>
  </w:style>
  <w:style w:type="character" w:customStyle="1" w:styleId="199">
    <w:name w:val="ca-331"/>
    <w:qFormat/>
    <w:uiPriority w:val="0"/>
    <w:rPr>
      <w:rFonts w:hint="eastAsia" w:ascii="宋体" w:hAnsi="宋体" w:eastAsia="宋体" w:cs="Times New Roman"/>
      <w:b/>
      <w:bCs/>
      <w:color w:val="002060"/>
      <w:spacing w:val="-20"/>
      <w:sz w:val="20"/>
      <w:szCs w:val="20"/>
      <w:lang w:val="en-US" w:eastAsia="zh-CN" w:bidi="ar-SA"/>
    </w:rPr>
  </w:style>
  <w:style w:type="character" w:customStyle="1" w:styleId="200">
    <w:name w:val="ca-251"/>
    <w:qFormat/>
    <w:uiPriority w:val="0"/>
    <w:rPr>
      <w:rFonts w:hint="default" w:ascii="Times New Roman" w:hAnsi="Times New Roman" w:eastAsia="宋体" w:cs="Times New Roman"/>
      <w:sz w:val="21"/>
      <w:szCs w:val="21"/>
      <w:lang w:val="en-US" w:eastAsia="zh-CN" w:bidi="ar-SA"/>
    </w:rPr>
  </w:style>
  <w:style w:type="character" w:customStyle="1" w:styleId="201">
    <w:name w:val="日期 字符1"/>
    <w:link w:val="46"/>
    <w:qFormat/>
    <w:uiPriority w:val="0"/>
    <w:rPr>
      <w:rFonts w:ascii="Times New Roman" w:hAnsi="Times New Roman" w:eastAsia="仿宋_GB2312" w:cs="Times New Roman"/>
      <w:sz w:val="28"/>
      <w:szCs w:val="20"/>
      <w:lang w:val="en-US" w:eastAsia="zh-CN" w:bidi="ar-SA"/>
    </w:rPr>
  </w:style>
  <w:style w:type="character" w:customStyle="1" w:styleId="202">
    <w:name w:val="ca-401"/>
    <w:qFormat/>
    <w:uiPriority w:val="0"/>
    <w:rPr>
      <w:rFonts w:hint="default" w:ascii="Times New Roman" w:hAnsi="Times New Roman" w:eastAsia="宋体" w:cs="Times New Roman"/>
      <w:sz w:val="20"/>
      <w:szCs w:val="20"/>
      <w:lang w:val="en-US" w:eastAsia="zh-CN" w:bidi="ar-SA"/>
    </w:rPr>
  </w:style>
  <w:style w:type="character" w:customStyle="1" w:styleId="203">
    <w:name w:val="手改 Char Char"/>
    <w:qFormat/>
    <w:uiPriority w:val="0"/>
    <w:rPr>
      <w:rFonts w:ascii="Times New Roman" w:hAnsi="Times New Roman" w:eastAsia="宋体" w:cs="Times New Roman"/>
      <w:kern w:val="2"/>
      <w:sz w:val="21"/>
      <w:szCs w:val="24"/>
      <w:lang w:val="en-US" w:eastAsia="zh-CN" w:bidi="ar-SA"/>
    </w:rPr>
  </w:style>
  <w:style w:type="character" w:customStyle="1" w:styleId="204">
    <w:name w:val="ca-210"/>
    <w:qFormat/>
    <w:uiPriority w:val="0"/>
    <w:rPr>
      <w:rFonts w:hint="default" w:ascii="Times New Roman" w:hAnsi="Times New Roman" w:eastAsia="宋体" w:cs="Times New Roman"/>
      <w:color w:val="000000"/>
      <w:sz w:val="36"/>
      <w:szCs w:val="36"/>
      <w:lang w:val="en-US" w:eastAsia="zh-CN" w:bidi="ar-SA"/>
    </w:rPr>
  </w:style>
  <w:style w:type="character" w:customStyle="1" w:styleId="205">
    <w:name w:val="批注文字 Char2"/>
    <w:semiHidden/>
    <w:qFormat/>
    <w:uiPriority w:val="99"/>
    <w:rPr>
      <w:rFonts w:ascii="Times New Roman" w:hAnsi="Times New Roman" w:eastAsia="宋体" w:cs="Times New Roman"/>
      <w:kern w:val="2"/>
      <w:sz w:val="21"/>
      <w:szCs w:val="22"/>
      <w:lang w:val="en-US" w:eastAsia="zh-CN" w:bidi="ar-SA"/>
    </w:rPr>
  </w:style>
  <w:style w:type="character" w:customStyle="1" w:styleId="206">
    <w:name w:val="尾注文本 Char1"/>
    <w:qFormat/>
    <w:uiPriority w:val="99"/>
    <w:rPr>
      <w:rFonts w:ascii="Times New Roman" w:hAnsi="Times New Roman" w:eastAsia="宋体" w:cs="Times New Roman"/>
      <w:kern w:val="2"/>
      <w:sz w:val="21"/>
      <w:szCs w:val="22"/>
      <w:lang w:val="en-US" w:eastAsia="zh-CN" w:bidi="ar-SA"/>
    </w:rPr>
  </w:style>
  <w:style w:type="character" w:customStyle="1" w:styleId="207">
    <w:name w:val="纯文本 Char1"/>
    <w:qFormat/>
    <w:uiPriority w:val="99"/>
    <w:rPr>
      <w:rFonts w:ascii="宋体" w:hAnsi="Courier New" w:eastAsia="宋体" w:cs="Courier New"/>
      <w:kern w:val="2"/>
      <w:sz w:val="21"/>
      <w:szCs w:val="21"/>
      <w:lang w:val="en-US" w:eastAsia="zh-CN" w:bidi="ar-SA"/>
    </w:rPr>
  </w:style>
  <w:style w:type="character" w:customStyle="1" w:styleId="208">
    <w:name w:val="批注主题 Char2"/>
    <w:semiHidden/>
    <w:qFormat/>
    <w:uiPriority w:val="99"/>
    <w:rPr>
      <w:rFonts w:ascii="Times New Roman" w:hAnsi="Times New Roman" w:eastAsia="宋体" w:cs="Times New Roman"/>
      <w:b/>
      <w:bCs/>
      <w:kern w:val="2"/>
      <w:sz w:val="21"/>
      <w:szCs w:val="22"/>
      <w:lang w:val="en-US" w:eastAsia="zh-CN" w:bidi="ar-SA"/>
    </w:rPr>
  </w:style>
  <w:style w:type="character" w:customStyle="1" w:styleId="209">
    <w:name w:val="正文文本缩进 3 Char1"/>
    <w:qFormat/>
    <w:uiPriority w:val="0"/>
    <w:rPr>
      <w:rFonts w:ascii="Times New Roman" w:hAnsi="Times New Roman" w:eastAsia="宋体" w:cs="Times New Roman"/>
      <w:kern w:val="2"/>
      <w:sz w:val="16"/>
      <w:szCs w:val="16"/>
      <w:lang w:val="en-US" w:eastAsia="zh-CN" w:bidi="ar-SA"/>
    </w:rPr>
  </w:style>
  <w:style w:type="character" w:customStyle="1" w:styleId="210">
    <w:name w:val="文档结构图 Char1"/>
    <w:semiHidden/>
    <w:qFormat/>
    <w:uiPriority w:val="99"/>
    <w:rPr>
      <w:rFonts w:ascii="宋体" w:hAnsi="Times New Roman" w:eastAsia="宋体" w:cs="Times New Roman"/>
      <w:kern w:val="2"/>
      <w:sz w:val="18"/>
      <w:szCs w:val="18"/>
      <w:lang w:val="en-US" w:eastAsia="zh-CN" w:bidi="ar-SA"/>
    </w:rPr>
  </w:style>
  <w:style w:type="character" w:customStyle="1" w:styleId="211">
    <w:name w:val="批注框文本 Char1"/>
    <w:qFormat/>
    <w:uiPriority w:val="0"/>
    <w:rPr>
      <w:rFonts w:ascii="Times New Roman" w:hAnsi="Times New Roman" w:eastAsia="宋体" w:cs="Times New Roman"/>
      <w:kern w:val="2"/>
      <w:sz w:val="18"/>
      <w:szCs w:val="18"/>
      <w:lang w:val="en-US" w:eastAsia="zh-CN" w:bidi="ar-SA"/>
    </w:rPr>
  </w:style>
  <w:style w:type="character" w:customStyle="1" w:styleId="212">
    <w:name w:val="日期 Char2"/>
    <w:semiHidden/>
    <w:qFormat/>
    <w:uiPriority w:val="99"/>
    <w:rPr>
      <w:rFonts w:ascii="Times New Roman" w:hAnsi="Times New Roman" w:eastAsia="宋体" w:cs="Times New Roman"/>
      <w:kern w:val="2"/>
      <w:sz w:val="21"/>
      <w:szCs w:val="22"/>
      <w:lang w:val="en-US" w:eastAsia="zh-CN" w:bidi="ar-SA"/>
    </w:rPr>
  </w:style>
  <w:style w:type="character" w:customStyle="1" w:styleId="213">
    <w:name w:val="正文文本 Char1"/>
    <w:qFormat/>
    <w:uiPriority w:val="0"/>
    <w:rPr>
      <w:rFonts w:ascii="Times New Roman" w:hAnsi="Times New Roman" w:eastAsia="宋体" w:cs="Times New Roman"/>
      <w:kern w:val="2"/>
      <w:sz w:val="21"/>
      <w:szCs w:val="22"/>
      <w:lang w:val="en-US" w:eastAsia="zh-CN" w:bidi="ar-SA"/>
    </w:rPr>
  </w:style>
  <w:style w:type="character" w:customStyle="1" w:styleId="214">
    <w:name w:val="正文文本缩进 Char1"/>
    <w:semiHidden/>
    <w:qFormat/>
    <w:uiPriority w:val="0"/>
    <w:rPr>
      <w:rFonts w:ascii="Times New Roman" w:hAnsi="Times New Roman" w:eastAsia="宋体" w:cs="Times New Roman"/>
      <w:kern w:val="2"/>
      <w:sz w:val="21"/>
      <w:szCs w:val="22"/>
      <w:lang w:val="en-US" w:eastAsia="zh-CN" w:bidi="ar-SA"/>
    </w:rPr>
  </w:style>
  <w:style w:type="character" w:customStyle="1" w:styleId="215">
    <w:name w:val="脚注文本 Char1"/>
    <w:qFormat/>
    <w:uiPriority w:val="99"/>
    <w:rPr>
      <w:rFonts w:ascii="Times New Roman" w:hAnsi="Times New Roman" w:eastAsia="宋体" w:cs="Times New Roman"/>
      <w:kern w:val="2"/>
      <w:sz w:val="18"/>
      <w:szCs w:val="18"/>
      <w:lang w:val="en-US" w:eastAsia="zh-CN" w:bidi="ar-SA"/>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rFonts w:ascii="Times New Roman" w:hAnsi="Times New Roman" w:eastAsia="宋体" w:cs="Times New Roman"/>
      <w:kern w:val="2"/>
      <w:sz w:val="21"/>
      <w:szCs w:val="22"/>
      <w:lang w:val="en-US" w:eastAsia="zh-CN" w:bidi="ar-SA"/>
    </w:rPr>
  </w:style>
  <w:style w:type="character" w:customStyle="1" w:styleId="218">
    <w:name w:val="正文文本 3 Char1"/>
    <w:semiHidden/>
    <w:qFormat/>
    <w:uiPriority w:val="99"/>
    <w:rPr>
      <w:rFonts w:ascii="Times New Roman" w:hAnsi="Times New Roman" w:eastAsia="宋体" w:cs="Times New Roman"/>
      <w:kern w:val="2"/>
      <w:sz w:val="16"/>
      <w:szCs w:val="16"/>
      <w:lang w:val="en-US" w:eastAsia="zh-CN" w:bidi="ar-SA"/>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70"/>
    <w:qFormat/>
    <w:uiPriority w:val="0"/>
    <w:rPr>
      <w:rFonts w:ascii="Times New Roman" w:hAnsi="Times New Roman" w:eastAsia="宋体" w:cs="Times New Roman"/>
      <w:lang w:val="en-US" w:eastAsia="zh-CN" w:bidi="ar-SA"/>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3"/>
    <w:qFormat/>
    <w:uiPriority w:val="99"/>
    <w:rPr>
      <w:rFonts w:ascii="宋体" w:hAnsi="宋体" w:eastAsia="宋体" w:cs="宋体"/>
      <w:kern w:val="0"/>
      <w:sz w:val="24"/>
      <w:lang w:val="en-US" w:eastAsia="zh-CN" w:bidi="ar-SA"/>
    </w:rPr>
  </w:style>
  <w:style w:type="paragraph" w:customStyle="1" w:styleId="224">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6"/>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4"/>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5"/>
    <w:next w:val="6"/>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7"/>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6"/>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5"/>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6"/>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5"/>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List Paragraph"/>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4"/>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eastAsia="宋体" w:cs="Times New Roman"/>
      <w:b/>
      <w:bCs/>
      <w:kern w:val="44"/>
      <w:sz w:val="44"/>
      <w:szCs w:val="44"/>
      <w:lang w:val="en-US" w:eastAsia="zh-CN" w:bidi="ar-SA"/>
    </w:rPr>
  </w:style>
  <w:style w:type="paragraph" w:customStyle="1" w:styleId="501">
    <w:name w:val="flType"/>
    <w:basedOn w:val="497"/>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eastAsia="宋体" w:cs="Times New Roman"/>
      <w:szCs w:val="24"/>
      <w:lang w:val="en-US" w:eastAsia="zh-CN" w:bidi="ar-SA"/>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rFonts w:ascii="Times New Roman" w:hAnsi="Times New Roman" w:eastAsia="宋体" w:cs="Times New Roman"/>
      <w:sz w:val="18"/>
      <w:szCs w:val="18"/>
      <w:lang w:val="en-US" w:eastAsia="zh-CN" w:bidi="ar-SA"/>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rFonts w:ascii="Times New Roman" w:hAnsi="Times New Roman" w:eastAsia="宋体" w:cs="Times New Roman"/>
      <w:b/>
      <w:bCs/>
      <w:kern w:val="44"/>
      <w:sz w:val="44"/>
      <w:szCs w:val="44"/>
      <w:lang w:val="en-US" w:eastAsia="zh-CN" w:bidi="ar-SA"/>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eastAsia="宋体" w:cs="宋体"/>
      <w:b/>
      <w:bCs/>
      <w:sz w:val="32"/>
      <w:szCs w:val="32"/>
      <w:lang w:val="en-US" w:eastAsia="zh-CN" w:bidi="ar-SA"/>
    </w:rPr>
  </w:style>
  <w:style w:type="paragraph" w:customStyle="1" w:styleId="515">
    <w:name w:val="flType_0"/>
    <w:basedOn w:val="510"/>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rFonts w:ascii="Times New Roman" w:hAnsi="Times New Roman" w:eastAsia="宋体" w:cs="Times New Roman"/>
      <w:b/>
      <w:bCs/>
      <w:sz w:val="32"/>
      <w:szCs w:val="32"/>
      <w:lang w:val="en-US" w:eastAsia="zh-CN" w:bidi="ar-SA"/>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rPr>
      <w:rFonts w:ascii="Times New Roman" w:hAnsi="Times New Roman" w:eastAsia="宋体" w:cs="Times New Roman"/>
      <w:kern w:val="0"/>
      <w:sz w:val="20"/>
      <w:szCs w:val="20"/>
      <w:lang w:val="en-US" w:eastAsia="zh-CN" w:bidi="ar-SA"/>
    </w:rPr>
  </w:style>
  <w:style w:type="character" w:customStyle="1" w:styleId="521">
    <w:name w:val="content3"/>
    <w:qFormat/>
    <w:uiPriority w:val="0"/>
    <w:rPr>
      <w:rFonts w:ascii="Calibri" w:hAnsi="Calibri" w:eastAsia="宋体" w:cs="Times New Roman"/>
      <w:b/>
      <w:bCs/>
      <w:sz w:val="18"/>
      <w:szCs w:val="18"/>
      <w:lang w:val="en-US" w:eastAsia="zh-CN" w:bidi="ar-SA"/>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7"/>
    <w:link w:val="530"/>
    <w:qFormat/>
    <w:uiPriority w:val="0"/>
    <w:rPr>
      <w:rFonts w:ascii="宋体" w:hAnsi="Courier New"/>
      <w:szCs w:val="21"/>
    </w:rPr>
  </w:style>
  <w:style w:type="character" w:customStyle="1" w:styleId="530">
    <w:name w:val="纯文本 Char_0"/>
    <w:link w:val="529"/>
    <w:qFormat/>
    <w:uiPriority w:val="0"/>
    <w:rPr>
      <w:rFonts w:ascii="宋体" w:hAnsi="Courier New" w:eastAsia="宋体" w:cs="Times New Roman"/>
      <w:szCs w:val="21"/>
      <w:lang w:val="en-US" w:eastAsia="zh-CN" w:bidi="ar-SA"/>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ascii="Times New Roman" w:hAnsi="Times New Roman" w:eastAsia="仿宋_GB2312" w:cs="Times New Roman"/>
      <w:sz w:val="28"/>
      <w:szCs w:val="20"/>
      <w:lang w:val="en-US" w:eastAsia="zh-CN" w:bidi="ar-SA"/>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rFonts w:ascii="Times New Roman" w:hAnsi="Times New Roman" w:eastAsia="宋体" w:cs="Times New Roman"/>
      <w:color w:val="605E5C"/>
      <w:shd w:val="clear" w:color="auto" w:fill="E1DFDD"/>
      <w:lang w:val="en-US" w:eastAsia="zh-CN" w:bidi="ar-SA"/>
    </w:rPr>
  </w:style>
  <w:style w:type="table" w:customStyle="1" w:styleId="552">
    <w:name w:val="网格型1"/>
    <w:basedOn w:val="89"/>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3">
    <w:name w:val="页码11"/>
    <w:qFormat/>
    <w:uiPriority w:val="0"/>
    <w:rPr>
      <w:rFonts w:ascii="Calibri" w:hAnsi="Calibri" w:eastAsia="宋体" w:cs="Times New Roman"/>
      <w:lang w:val="en-US" w:eastAsia="zh-CN" w:bidi="ar-SA"/>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cs="Times New Roman"/>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rPr>
      <w:rFonts w:ascii="Times New Roman" w:hAnsi="Times New Roman" w:eastAsia="宋体" w:cs="Times New Roman"/>
      <w:lang w:val="en-US" w:eastAsia="zh-CN" w:bidi="ar-SA"/>
    </w:rPr>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cs="Times New Roman"/>
      <w:b/>
      <w:bCs/>
      <w:kern w:val="2"/>
      <w:sz w:val="32"/>
      <w:szCs w:val="32"/>
      <w:lang w:val="en-US" w:eastAsia="zh-CN" w:bidi="ar-SA"/>
    </w:rPr>
  </w:style>
  <w:style w:type="character" w:customStyle="1" w:styleId="574">
    <w:name w:val="页码2"/>
    <w:basedOn w:val="79"/>
    <w:qFormat/>
    <w:uiPriority w:val="0"/>
    <w:rPr>
      <w:rFonts w:ascii="Times New Roman" w:hAnsi="Times New Roman" w:eastAsia="宋体" w:cs="Times New Roman"/>
      <w:lang w:val="en-US" w:eastAsia="zh-CN" w:bidi="ar-SA"/>
    </w:rPr>
  </w:style>
  <w:style w:type="character" w:customStyle="1" w:styleId="575">
    <w:name w:val="Char Char91"/>
    <w:qFormat/>
    <w:uiPriority w:val="0"/>
    <w:rPr>
      <w:rFonts w:ascii="Times New Roman" w:hAnsi="Times New Roman" w:eastAsia="宋体" w:cs="Times New Roman"/>
      <w:color w:val="000000"/>
      <w:kern w:val="2"/>
      <w:sz w:val="24"/>
      <w:lang w:val="en-US" w:eastAsia="zh-CN" w:bidi="ar-SA"/>
    </w:rPr>
  </w:style>
  <w:style w:type="character" w:customStyle="1" w:styleId="576">
    <w:name w:val="Char Char121"/>
    <w:qFormat/>
    <w:uiPriority w:val="0"/>
    <w:rPr>
      <w:rFonts w:ascii="Arial" w:hAnsi="Arial" w:eastAsia="宋体" w:cs="Times New Roman"/>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7"/>
    <w:next w:val="57"/>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51"/>
    <w:qFormat/>
    <w:uiPriority w:val="0"/>
    <w:rPr>
      <w:rFonts w:ascii="Times New Roman" w:hAnsi="Times New Roman" w:eastAsia="宋体" w:cs="Times New Roman"/>
      <w:kern w:val="0"/>
      <w:sz w:val="20"/>
      <w:szCs w:val="20"/>
      <w:lang w:val="en-US" w:eastAsia="zh-CN" w:bidi="ar-SA"/>
    </w:rPr>
  </w:style>
  <w:style w:type="character" w:customStyle="1" w:styleId="592">
    <w:name w:val="标题3 Char"/>
    <w:basedOn w:val="79"/>
    <w:link w:val="593"/>
    <w:qFormat/>
    <w:locked/>
    <w:uiPriority w:val="0"/>
    <w:rPr>
      <w:rFonts w:ascii="Times New Roman" w:hAnsi="Times New Roman" w:eastAsia="宋体" w:cs="Times New Roman"/>
      <w:sz w:val="24"/>
      <w:lang w:val="en-US" w:eastAsia="zh-CN" w:bidi="ar-SA"/>
    </w:rPr>
  </w:style>
  <w:style w:type="paragraph" w:customStyle="1" w:styleId="593">
    <w:name w:val="标题3"/>
    <w:basedOn w:val="4"/>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6"/>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79"/>
    <w:qFormat/>
    <w:uiPriority w:val="0"/>
    <w:rPr>
      <w:rFonts w:ascii="Univers" w:hAnsi="Univers" w:eastAsia="宋体" w:cs="Times New Roman"/>
      <w:sz w:val="24"/>
      <w:lang w:val="en-US" w:eastAsia="zh-CN" w:bidi="ar-SA"/>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79"/>
    <w:qFormat/>
    <w:uiPriority w:val="0"/>
    <w:rPr>
      <w:rFonts w:ascii="Times New Roman" w:hAnsi="Times New Roman" w:eastAsia="宋体" w:cs="Times New Roman"/>
      <w:lang w:val="en-US" w:eastAsia="zh-CN" w:bidi="ar-SA"/>
    </w:rPr>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5"/>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3"/>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79"/>
    <w:link w:val="72"/>
    <w:qFormat/>
    <w:uiPriority w:val="0"/>
    <w:rPr>
      <w:rFonts w:hint="eastAsia" w:ascii="Garamond" w:hAnsi="Garamond" w:eastAsia="宋体" w:cs="Times New Roman"/>
      <w:bCs/>
      <w:spacing w:val="-5"/>
      <w:kern w:val="0"/>
      <w:sz w:val="18"/>
      <w:szCs w:val="20"/>
      <w:lang w:val="en-US" w:eastAsia="zh-CN" w:bidi="ar-SA"/>
    </w:rPr>
  </w:style>
  <w:style w:type="character" w:customStyle="1" w:styleId="608">
    <w:name w:val="称呼 字符"/>
    <w:basedOn w:val="79"/>
    <w:link w:val="30"/>
    <w:qFormat/>
    <w:uiPriority w:val="0"/>
    <w:rPr>
      <w:rFonts w:ascii="Times New Roman" w:hAnsi="Times New Roman" w:eastAsia="宋体" w:cs="Times New Roman"/>
      <w:szCs w:val="20"/>
      <w:lang w:val="en-US" w:eastAsia="zh-CN" w:bidi="ar-SA"/>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4"/>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4"/>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4"/>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79"/>
    <w:link w:val="667"/>
    <w:qFormat/>
    <w:locked/>
    <w:uiPriority w:val="0"/>
    <w:rPr>
      <w:rFonts w:ascii="宋体" w:hAnsi="Times New Roman" w:eastAsia="宋体" w:cs="宋体"/>
      <w:kern w:val="0"/>
      <w:sz w:val="28"/>
      <w:szCs w:val="20"/>
      <w:lang w:val="en-US" w:eastAsia="zh-CN" w:bidi="ar-SA"/>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79"/>
    <w:link w:val="683"/>
    <w:qFormat/>
    <w:locked/>
    <w:uiPriority w:val="0"/>
    <w:rPr>
      <w:rFonts w:ascii="宋体" w:hAnsi="宋体" w:eastAsia="宋体" w:cs="Times New Roman"/>
      <w:spacing w:val="-10"/>
      <w:kern w:val="0"/>
      <w:sz w:val="24"/>
      <w:szCs w:val="28"/>
      <w:lang w:val="en-US" w:eastAsia="zh-CN" w:bidi="ar-SA"/>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4"/>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7"/>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4"/>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5"/>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4"/>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7"/>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4"/>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4"/>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5"/>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6"/>
    <w:next w:val="1"/>
    <w:link w:val="736"/>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79"/>
    <w:link w:val="735"/>
    <w:qFormat/>
    <w:uiPriority w:val="0"/>
    <w:rPr>
      <w:rFonts w:ascii="Times New Roman" w:hAnsi="Times New Roman" w:eastAsia="宋体" w:cs="Times New Roman"/>
      <w:sz w:val="32"/>
      <w:lang w:val="en-US" w:eastAsia="zh-CN" w:bidi="ar-SA"/>
    </w:rPr>
  </w:style>
  <w:style w:type="paragraph" w:customStyle="1" w:styleId="737">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79"/>
    <w:link w:val="743"/>
    <w:qFormat/>
    <w:uiPriority w:val="0"/>
    <w:rPr>
      <w:rFonts w:ascii="宋体" w:hAnsi="Times New Roman" w:eastAsia="宋体" w:cs="Times New Roman"/>
      <w:kern w:val="0"/>
      <w:sz w:val="24"/>
      <w:szCs w:val="20"/>
      <w:lang w:val="en-US" w:eastAsia="zh-CN" w:bidi="ar-SA"/>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6"/>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79"/>
    <w:qFormat/>
    <w:uiPriority w:val="0"/>
    <w:rPr>
      <w:rFonts w:ascii="Times New Roman" w:hAnsi="Times New Roman" w:eastAsia="宋体" w:cs="Times New Roman"/>
      <w:b/>
      <w:bCs/>
      <w:kern w:val="44"/>
      <w:sz w:val="44"/>
      <w:szCs w:val="44"/>
      <w:lang w:val="en-US" w:eastAsia="zh-CN" w:bidi="ar-SA"/>
    </w:rPr>
  </w:style>
  <w:style w:type="paragraph" w:customStyle="1" w:styleId="751">
    <w:name w:val="样式 标题 3Heading 3 Char1Heading 3 Char Char列表编号33 bullet2ERM..."/>
    <w:basedOn w:val="6"/>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79"/>
    <w:link w:val="751"/>
    <w:qFormat/>
    <w:uiPriority w:val="0"/>
    <w:rPr>
      <w:rFonts w:ascii="Times New Roman" w:hAnsi="Times New Roman" w:eastAsia="宋体" w:cs="宋体"/>
      <w:szCs w:val="20"/>
      <w:lang w:val="en-US" w:eastAsia="zh-CN" w:bidi="ar-SA"/>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79"/>
    <w:qFormat/>
    <w:uiPriority w:val="0"/>
    <w:rPr>
      <w:rFonts w:ascii="Times New Roman" w:hAnsi="Times New Roman" w:eastAsia="宋体" w:cs="Times New Roman"/>
      <w:kern w:val="2"/>
      <w:sz w:val="21"/>
      <w:szCs w:val="21"/>
      <w:lang w:val="en-US" w:eastAsia="zh-CN" w:bidi="ar-SA"/>
    </w:rPr>
  </w:style>
  <w:style w:type="character" w:customStyle="1" w:styleId="755">
    <w:name w:val="标题 1 Char"/>
    <w:basedOn w:val="79"/>
    <w:qFormat/>
    <w:uiPriority w:val="0"/>
    <w:rPr>
      <w:rFonts w:ascii="Times New Roman" w:hAnsi="Times New Roman" w:eastAsia="宋体" w:cs="Times New Roman"/>
      <w:b/>
      <w:bCs/>
      <w:kern w:val="44"/>
      <w:sz w:val="44"/>
      <w:szCs w:val="44"/>
      <w:lang w:val="en-US" w:eastAsia="zh-CN" w:bidi="ar-SA"/>
    </w:rPr>
  </w:style>
  <w:style w:type="character" w:customStyle="1" w:styleId="756">
    <w:name w:val="标题 2 Char"/>
    <w:basedOn w:val="79"/>
    <w:qFormat/>
    <w:uiPriority w:val="0"/>
    <w:rPr>
      <w:rFonts w:asciiTheme="majorHAnsi" w:hAnsiTheme="majorHAnsi" w:eastAsiaTheme="majorEastAsia" w:cstheme="majorBidi"/>
      <w:b/>
      <w:bCs/>
      <w:sz w:val="32"/>
      <w:szCs w:val="32"/>
      <w:lang w:val="en-US" w:eastAsia="zh-CN" w:bidi="ar-SA"/>
    </w:rPr>
  </w:style>
  <w:style w:type="character" w:customStyle="1" w:styleId="757">
    <w:name w:val="标题 3 Char"/>
    <w:basedOn w:val="79"/>
    <w:qFormat/>
    <w:uiPriority w:val="0"/>
    <w:rPr>
      <w:rFonts w:ascii="Times New Roman" w:hAnsi="Times New Roman" w:eastAsia="宋体" w:cs="Times New Roman"/>
      <w:b/>
      <w:bCs/>
      <w:sz w:val="32"/>
      <w:szCs w:val="32"/>
      <w:lang w:val="en-US" w:eastAsia="zh-CN" w:bidi="ar-SA"/>
    </w:rPr>
  </w:style>
  <w:style w:type="character" w:customStyle="1" w:styleId="758">
    <w:name w:val="正文缩进 字符1"/>
    <w:basedOn w:val="79"/>
    <w:link w:val="23"/>
    <w:qFormat/>
    <w:uiPriority w:val="0"/>
    <w:rPr>
      <w:rFonts w:ascii="Times New Roman" w:hAnsi="Times New Roman" w:eastAsia="宋体" w:cs="Times New Roman"/>
      <w:lang w:val="en-US" w:eastAsia="zh-CN" w:bidi="ar-SA"/>
    </w:rPr>
  </w:style>
  <w:style w:type="character" w:customStyle="1" w:styleId="759">
    <w:name w:val="纯文本 Char"/>
    <w:basedOn w:val="79"/>
    <w:qFormat/>
    <w:uiPriority w:val="99"/>
    <w:rPr>
      <w:rFonts w:ascii="宋体" w:hAnsi="Courier New" w:eastAsia="宋体" w:cs="Courier New"/>
      <w:szCs w:val="21"/>
      <w:lang w:val="en-US" w:eastAsia="zh-CN" w:bidi="ar-SA"/>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79"/>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3">
    <w:name w:val="宏文本1"/>
    <w:next w:val="19"/>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79"/>
    <w:link w:val="20"/>
    <w:qFormat/>
    <w:uiPriority w:val="0"/>
    <w:rPr>
      <w:rFonts w:ascii="Times New Roman" w:hAnsi="Times New Roman" w:eastAsia="宋体" w:cs="Times New Roman"/>
      <w:szCs w:val="24"/>
      <w:lang w:val="en-US" w:eastAsia="zh-CN" w:bidi="ar-SA"/>
    </w:rPr>
  </w:style>
  <w:style w:type="paragraph" w:customStyle="1" w:styleId="775">
    <w:name w:val="签名1"/>
    <w:basedOn w:val="1"/>
    <w:next w:val="53"/>
    <w:link w:val="1461"/>
    <w:qFormat/>
    <w:uiPriority w:val="0"/>
    <w:pPr>
      <w:ind w:left="100" w:leftChars="2100"/>
    </w:pPr>
    <w:rPr>
      <w:kern w:val="0"/>
      <w:sz w:val="20"/>
      <w:szCs w:val="20"/>
    </w:rPr>
  </w:style>
  <w:style w:type="character" w:customStyle="1" w:styleId="776">
    <w:name w:val="副标题 字符"/>
    <w:basedOn w:val="79"/>
    <w:link w:val="58"/>
    <w:qFormat/>
    <w:uiPriority w:val="0"/>
    <w:rPr>
      <w:rFonts w:ascii="Cambria" w:hAnsi="Cambria" w:eastAsia="宋体" w:cs="Times New Roman"/>
      <w:kern w:val="0"/>
      <w:sz w:val="20"/>
      <w:szCs w:val="20"/>
      <w:lang w:val="en-US" w:eastAsia="zh-CN" w:bidi="ar-SA"/>
    </w:rPr>
  </w:style>
  <w:style w:type="character" w:customStyle="1" w:styleId="777">
    <w:name w:val="标题 4 Char"/>
    <w:basedOn w:val="79"/>
    <w:semiHidden/>
    <w:qFormat/>
    <w:uiPriority w:val="0"/>
    <w:rPr>
      <w:rFonts w:ascii="Cambria" w:hAnsi="Cambria" w:eastAsia="宋体" w:cs="Times New Roman"/>
      <w:b/>
      <w:bCs/>
      <w:sz w:val="28"/>
      <w:szCs w:val="28"/>
      <w:lang w:val="en-US" w:eastAsia="zh-CN" w:bidi="ar-SA"/>
    </w:rPr>
  </w:style>
  <w:style w:type="character" w:customStyle="1" w:styleId="778">
    <w:name w:val="标题 5 Char"/>
    <w:basedOn w:val="79"/>
    <w:semiHidden/>
    <w:qFormat/>
    <w:uiPriority w:val="0"/>
    <w:rPr>
      <w:rFonts w:ascii="Times New Roman" w:hAnsi="Times New Roman" w:eastAsia="宋体" w:cs="Times New Roman"/>
      <w:b/>
      <w:bCs/>
      <w:sz w:val="28"/>
      <w:szCs w:val="28"/>
      <w:lang w:val="en-US" w:eastAsia="zh-CN" w:bidi="ar-SA"/>
    </w:rPr>
  </w:style>
  <w:style w:type="character" w:customStyle="1" w:styleId="779">
    <w:name w:val="标题 6 Char"/>
    <w:basedOn w:val="79"/>
    <w:semiHidden/>
    <w:qFormat/>
    <w:uiPriority w:val="0"/>
    <w:rPr>
      <w:rFonts w:ascii="Cambria" w:hAnsi="Cambria" w:eastAsia="宋体" w:cs="Times New Roman"/>
      <w:b/>
      <w:bCs/>
      <w:sz w:val="24"/>
      <w:szCs w:val="24"/>
      <w:lang w:val="en-US" w:eastAsia="zh-CN" w:bidi="ar-SA"/>
    </w:rPr>
  </w:style>
  <w:style w:type="character" w:customStyle="1" w:styleId="780">
    <w:name w:val="标题 7 Char"/>
    <w:basedOn w:val="79"/>
    <w:qFormat/>
    <w:uiPriority w:val="0"/>
    <w:rPr>
      <w:rFonts w:ascii="Times New Roman" w:hAnsi="Times New Roman" w:eastAsia="宋体" w:cs="Times New Roman"/>
      <w:b/>
      <w:bCs/>
      <w:sz w:val="24"/>
      <w:szCs w:val="24"/>
      <w:lang w:val="en-US" w:eastAsia="zh-CN" w:bidi="ar-SA"/>
    </w:rPr>
  </w:style>
  <w:style w:type="character" w:customStyle="1" w:styleId="781">
    <w:name w:val="标题 8 Char"/>
    <w:basedOn w:val="79"/>
    <w:semiHidden/>
    <w:qFormat/>
    <w:uiPriority w:val="0"/>
    <w:rPr>
      <w:rFonts w:ascii="Cambria" w:hAnsi="Cambria" w:eastAsia="宋体" w:cs="Times New Roman"/>
      <w:sz w:val="24"/>
      <w:szCs w:val="24"/>
      <w:lang w:val="en-US" w:eastAsia="zh-CN" w:bidi="ar-SA"/>
    </w:rPr>
  </w:style>
  <w:style w:type="character" w:customStyle="1" w:styleId="782">
    <w:name w:val="标题 9 Char"/>
    <w:basedOn w:val="79"/>
    <w:semiHidden/>
    <w:qFormat/>
    <w:uiPriority w:val="0"/>
    <w:rPr>
      <w:rFonts w:ascii="Cambria" w:hAnsi="Cambria" w:eastAsia="宋体" w:cs="Times New Roman"/>
      <w:szCs w:val="21"/>
      <w:lang w:val="en-US" w:eastAsia="zh-CN" w:bidi="ar-SA"/>
    </w:rPr>
  </w:style>
  <w:style w:type="character" w:customStyle="1" w:styleId="783">
    <w:name w:val="宏文本 Char"/>
    <w:basedOn w:val="79"/>
    <w:qFormat/>
    <w:uiPriority w:val="0"/>
    <w:rPr>
      <w:rFonts w:ascii="Courier New" w:hAnsi="Courier New" w:eastAsia="宋体" w:cs="Courier New"/>
      <w:sz w:val="24"/>
      <w:szCs w:val="24"/>
      <w:lang w:val="en-US" w:eastAsia="zh-CN" w:bidi="ar-SA"/>
    </w:rPr>
  </w:style>
  <w:style w:type="character" w:customStyle="1" w:styleId="784">
    <w:name w:val="注释标题 Char"/>
    <w:basedOn w:val="79"/>
    <w:semiHidden/>
    <w:qFormat/>
    <w:uiPriority w:val="0"/>
    <w:rPr>
      <w:rFonts w:ascii="Times New Roman" w:hAnsi="Times New Roman" w:eastAsia="宋体" w:cs="Times New Roman"/>
      <w:szCs w:val="20"/>
      <w:lang w:val="en-US" w:eastAsia="zh-CN" w:bidi="ar-SA"/>
    </w:rPr>
  </w:style>
  <w:style w:type="character" w:customStyle="1" w:styleId="785">
    <w:name w:val="文档结构图 Char"/>
    <w:basedOn w:val="79"/>
    <w:semiHidden/>
    <w:qFormat/>
    <w:uiPriority w:val="0"/>
    <w:rPr>
      <w:rFonts w:ascii="宋体" w:hAnsi="Times New Roman" w:eastAsia="宋体" w:cs="Times New Roman"/>
      <w:sz w:val="18"/>
      <w:szCs w:val="18"/>
      <w:lang w:val="en-US" w:eastAsia="zh-CN" w:bidi="ar-SA"/>
    </w:rPr>
  </w:style>
  <w:style w:type="character" w:customStyle="1" w:styleId="786">
    <w:name w:val="称呼 Char"/>
    <w:basedOn w:val="79"/>
    <w:semiHidden/>
    <w:qFormat/>
    <w:uiPriority w:val="0"/>
    <w:rPr>
      <w:rFonts w:ascii="Times New Roman" w:hAnsi="Times New Roman" w:eastAsia="宋体" w:cs="Times New Roman"/>
      <w:szCs w:val="20"/>
      <w:lang w:val="en-US" w:eastAsia="zh-CN" w:bidi="ar-SA"/>
    </w:rPr>
  </w:style>
  <w:style w:type="character" w:customStyle="1" w:styleId="787">
    <w:name w:val="正文文本 3 Char"/>
    <w:basedOn w:val="79"/>
    <w:semiHidden/>
    <w:qFormat/>
    <w:uiPriority w:val="0"/>
    <w:rPr>
      <w:rFonts w:ascii="Times New Roman" w:hAnsi="Times New Roman" w:eastAsia="宋体" w:cs="Times New Roman"/>
      <w:sz w:val="16"/>
      <w:szCs w:val="16"/>
      <w:lang w:val="en-US" w:eastAsia="zh-CN" w:bidi="ar-SA"/>
    </w:rPr>
  </w:style>
  <w:style w:type="character" w:customStyle="1" w:styleId="788">
    <w:name w:val="正文文本缩进 Char"/>
    <w:basedOn w:val="79"/>
    <w:qFormat/>
    <w:uiPriority w:val="0"/>
    <w:rPr>
      <w:rFonts w:ascii="Times New Roman" w:hAnsi="Times New Roman" w:eastAsia="宋体" w:cs="Times New Roman"/>
      <w:szCs w:val="20"/>
      <w:lang w:val="en-US" w:eastAsia="zh-CN" w:bidi="ar-SA"/>
    </w:rPr>
  </w:style>
  <w:style w:type="character" w:customStyle="1" w:styleId="789">
    <w:name w:val="批注框文本 Char"/>
    <w:basedOn w:val="79"/>
    <w:qFormat/>
    <w:uiPriority w:val="0"/>
    <w:rPr>
      <w:rFonts w:ascii="Times New Roman" w:hAnsi="Times New Roman" w:eastAsia="宋体" w:cs="Times New Roman"/>
      <w:sz w:val="18"/>
      <w:szCs w:val="18"/>
      <w:lang w:val="en-US" w:eastAsia="zh-CN" w:bidi="ar-SA"/>
    </w:rPr>
  </w:style>
  <w:style w:type="character" w:customStyle="1" w:styleId="790">
    <w:name w:val="页脚 Char"/>
    <w:basedOn w:val="79"/>
    <w:semiHidden/>
    <w:qFormat/>
    <w:uiPriority w:val="0"/>
    <w:rPr>
      <w:rFonts w:ascii="Times New Roman" w:hAnsi="Times New Roman" w:eastAsia="宋体" w:cs="Times New Roman"/>
      <w:sz w:val="18"/>
      <w:szCs w:val="18"/>
      <w:lang w:val="en-US" w:eastAsia="zh-CN" w:bidi="ar-SA"/>
    </w:rPr>
  </w:style>
  <w:style w:type="character" w:customStyle="1" w:styleId="791">
    <w:name w:val="页眉 Char"/>
    <w:basedOn w:val="79"/>
    <w:qFormat/>
    <w:uiPriority w:val="0"/>
    <w:rPr>
      <w:rFonts w:ascii="Times New Roman" w:hAnsi="Times New Roman" w:eastAsia="宋体" w:cs="Times New Roman"/>
      <w:sz w:val="18"/>
      <w:szCs w:val="18"/>
      <w:lang w:val="en-US" w:eastAsia="zh-CN" w:bidi="ar-SA"/>
    </w:rPr>
  </w:style>
  <w:style w:type="character" w:customStyle="1" w:styleId="792">
    <w:name w:val="签名 Char"/>
    <w:basedOn w:val="79"/>
    <w:qFormat/>
    <w:uiPriority w:val="0"/>
    <w:rPr>
      <w:rFonts w:ascii="Times New Roman" w:hAnsi="Times New Roman" w:eastAsia="宋体" w:cs="Times New Roman"/>
      <w:szCs w:val="20"/>
      <w:lang w:val="en-US" w:eastAsia="zh-CN" w:bidi="ar-SA"/>
    </w:rPr>
  </w:style>
  <w:style w:type="character" w:customStyle="1" w:styleId="793">
    <w:name w:val="副标题 Char"/>
    <w:basedOn w:val="79"/>
    <w:qFormat/>
    <w:uiPriority w:val="0"/>
    <w:rPr>
      <w:rFonts w:ascii="Cambria" w:hAnsi="Cambria" w:eastAsia="宋体" w:cs="Times New Roman"/>
      <w:b/>
      <w:bCs/>
      <w:kern w:val="28"/>
      <w:sz w:val="32"/>
      <w:szCs w:val="32"/>
      <w:lang w:val="en-US" w:eastAsia="zh-CN" w:bidi="ar-SA"/>
    </w:rPr>
  </w:style>
  <w:style w:type="character" w:customStyle="1" w:styleId="794">
    <w:name w:val="脚注文本 Char"/>
    <w:basedOn w:val="79"/>
    <w:semiHidden/>
    <w:qFormat/>
    <w:uiPriority w:val="0"/>
    <w:rPr>
      <w:rFonts w:ascii="Times New Roman" w:hAnsi="Times New Roman" w:eastAsia="宋体" w:cs="Times New Roman"/>
      <w:sz w:val="18"/>
      <w:szCs w:val="18"/>
      <w:lang w:val="en-US" w:eastAsia="zh-CN" w:bidi="ar-SA"/>
    </w:rPr>
  </w:style>
  <w:style w:type="character" w:customStyle="1" w:styleId="795">
    <w:name w:val="正文文本缩进 3 Char"/>
    <w:basedOn w:val="79"/>
    <w:semiHidden/>
    <w:qFormat/>
    <w:uiPriority w:val="0"/>
    <w:rPr>
      <w:rFonts w:ascii="Times New Roman" w:hAnsi="Times New Roman" w:eastAsia="宋体" w:cs="Times New Roman"/>
      <w:sz w:val="16"/>
      <w:szCs w:val="16"/>
      <w:lang w:val="en-US" w:eastAsia="zh-CN" w:bidi="ar-SA"/>
    </w:rPr>
  </w:style>
  <w:style w:type="character" w:customStyle="1" w:styleId="796">
    <w:name w:val="正文文本 2 Char"/>
    <w:basedOn w:val="79"/>
    <w:semiHidden/>
    <w:qFormat/>
    <w:uiPriority w:val="0"/>
    <w:rPr>
      <w:rFonts w:ascii="Times New Roman" w:hAnsi="Times New Roman" w:eastAsia="宋体" w:cs="Times New Roman"/>
      <w:szCs w:val="20"/>
      <w:lang w:val="en-US" w:eastAsia="zh-CN" w:bidi="ar-SA"/>
    </w:rPr>
  </w:style>
  <w:style w:type="character" w:customStyle="1" w:styleId="797">
    <w:name w:val="信息标题 Char"/>
    <w:basedOn w:val="79"/>
    <w:qFormat/>
    <w:uiPriority w:val="0"/>
    <w:rPr>
      <w:rFonts w:ascii="Cambria" w:hAnsi="Cambria" w:eastAsia="宋体" w:cs="Times New Roman"/>
      <w:sz w:val="24"/>
      <w:szCs w:val="24"/>
      <w:shd w:val="pct20" w:color="auto" w:fill="auto"/>
      <w:lang w:val="en-US" w:eastAsia="zh-CN" w:bidi="ar-SA"/>
    </w:rPr>
  </w:style>
  <w:style w:type="character" w:customStyle="1" w:styleId="798">
    <w:name w:val="HTML 预设格式 Char"/>
    <w:basedOn w:val="79"/>
    <w:semiHidden/>
    <w:qFormat/>
    <w:uiPriority w:val="99"/>
    <w:rPr>
      <w:rFonts w:ascii="Courier New" w:hAnsi="Courier New" w:eastAsia="宋体" w:cs="Courier New"/>
      <w:sz w:val="20"/>
      <w:szCs w:val="20"/>
      <w:lang w:val="en-US" w:eastAsia="zh-CN" w:bidi="ar-SA"/>
    </w:rPr>
  </w:style>
  <w:style w:type="character" w:customStyle="1" w:styleId="799">
    <w:name w:val="正文文本 Char3"/>
    <w:basedOn w:val="79"/>
    <w:qFormat/>
    <w:uiPriority w:val="0"/>
    <w:rPr>
      <w:rFonts w:ascii="Times New Roman" w:hAnsi="Times New Roman" w:eastAsia="宋体" w:cs="Times New Roman"/>
      <w:color w:val="FF0000"/>
      <w:kern w:val="2"/>
      <w:sz w:val="24"/>
      <w:lang w:val="en-US" w:eastAsia="zh-CN" w:bidi="ar-SA"/>
    </w:rPr>
  </w:style>
  <w:style w:type="character" w:customStyle="1" w:styleId="800">
    <w:name w:val="批注文字 Char3"/>
    <w:basedOn w:val="79"/>
    <w:qFormat/>
    <w:uiPriority w:val="0"/>
    <w:rPr>
      <w:rFonts w:ascii="Times New Roman" w:hAnsi="Times New Roman" w:eastAsia="宋体" w:cs="Times New Roman"/>
      <w:kern w:val="2"/>
      <w:sz w:val="21"/>
      <w:lang w:val="en-US" w:eastAsia="zh-CN" w:bidi="ar-SA"/>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eastAsia="宋体" w:cs="Times New Roman"/>
      <w:sz w:val="18"/>
      <w:lang w:val="en-US" w:eastAsia="zh-CN" w:bidi="ar-SA"/>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eastAsia="宋体" w:cs="Times New Roman"/>
      <w:b/>
      <w:sz w:val="24"/>
      <w:szCs w:val="20"/>
      <w:lang w:val="en-US" w:eastAsia="zh-CN" w:bidi="ar-SA"/>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lang w:val="en-US" w:eastAsia="zh-CN" w:bidi="ar-SA"/>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1"/>
    <w:qFormat/>
    <w:uiPriority w:val="0"/>
    <w:rPr>
      <w:rFonts w:ascii="宋体" w:hAnsi="Courier New"/>
      <w:szCs w:val="20"/>
    </w:rPr>
  </w:style>
  <w:style w:type="character" w:customStyle="1" w:styleId="824">
    <w:name w:val="Body Char Char"/>
    <w:qFormat/>
    <w:uiPriority w:val="0"/>
    <w:rPr>
      <w:rFonts w:ascii="Times New Roman" w:hAnsi="Times New Roman" w:eastAsia="宋体" w:cs="Times New Roman"/>
      <w:kern w:val="2"/>
      <w:sz w:val="21"/>
      <w:lang w:val="en-US" w:eastAsia="zh-CN" w:bidi="ar-SA"/>
    </w:rPr>
  </w:style>
  <w:style w:type="character" w:customStyle="1" w:styleId="825">
    <w:name w:val="图形布置 Char"/>
    <w:link w:val="826"/>
    <w:qFormat/>
    <w:uiPriority w:val="0"/>
    <w:rPr>
      <w:rFonts w:ascii="Times New Roman" w:hAnsi="Times New Roman" w:eastAsia="宋体" w:cs="Times New Roman"/>
      <w:kern w:val="0"/>
      <w:sz w:val="20"/>
      <w:szCs w:val="20"/>
      <w:lang w:val="en-US" w:eastAsia="zh-CN" w:bidi="ar-SA"/>
    </w:rPr>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rPr>
      <w:rFonts w:ascii="Calibri" w:hAnsi="Calibri" w:eastAsia="宋体" w:cs="Times New Roman"/>
      <w:lang w:val="en-US" w:eastAsia="zh-CN" w:bidi="ar-SA"/>
    </w:rPr>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ascii="Calibri" w:hAnsi="Times New Roman" w:eastAsia="PMingLiU" w:cs="Times New Roman"/>
      <w:kern w:val="0"/>
      <w:lang w:val="en-US" w:eastAsia="zh-CN" w:bidi="ar-SA"/>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6"/>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eastAsia="宋体" w:cs="Times New Roman"/>
      <w:kern w:val="0"/>
      <w:sz w:val="20"/>
      <w:szCs w:val="20"/>
      <w:lang w:val="en-US" w:eastAsia="zh-CN" w:bidi="ar-SA"/>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cs="Times New Roman"/>
      <w:spacing w:val="10"/>
      <w:kern w:val="0"/>
      <w:sz w:val="20"/>
      <w:szCs w:val="20"/>
      <w:lang w:val="en-US" w:eastAsia="zh-CN" w:bidi="ar-SA"/>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cs="Times New Roman"/>
      <w:b/>
      <w:sz w:val="28"/>
      <w:lang w:val="en-US" w:eastAsia="zh-CN" w:bidi="ar-SA"/>
    </w:rPr>
  </w:style>
  <w:style w:type="character" w:customStyle="1" w:styleId="837">
    <w:name w:val="樣式 標題 3 + (中文) MS Gothic 10.5 點 Char Char Char Char Char Char Char Char"/>
    <w:link w:val="838"/>
    <w:qFormat/>
    <w:uiPriority w:val="0"/>
    <w:rPr>
      <w:rFonts w:ascii="Times New Roman" w:hAnsi="PMingLiU" w:eastAsia="MS Gothic" w:cs="Times New Roman"/>
      <w:snapToGrid w:val="0"/>
      <w:kern w:val="0"/>
      <w:sz w:val="24"/>
      <w:szCs w:val="20"/>
      <w:lang w:val="en-AU" w:eastAsia="zh-TW" w:bidi="ar-SA"/>
    </w:rPr>
  </w:style>
  <w:style w:type="paragraph" w:customStyle="1" w:styleId="838">
    <w:name w:val="樣式 標題 3 + (中文) MS Gothic 10.5 點 Char Char Char Char Char Char Char"/>
    <w:basedOn w:val="6"/>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eastAsia="宋体" w:cs="Times New Roman"/>
      <w:snapToGrid w:val="0"/>
      <w:color w:val="000000"/>
      <w:kern w:val="0"/>
      <w:sz w:val="20"/>
      <w:szCs w:val="20"/>
      <w:lang w:val="en-US" w:eastAsia="zh-CN" w:bidi="ar-SA"/>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eastAsia="宋体" w:cs="Times New Roman"/>
      <w:kern w:val="0"/>
      <w:sz w:val="20"/>
      <w:szCs w:val="20"/>
      <w:lang w:val="en-US" w:eastAsia="zh-CN" w:bidi="ar-SA"/>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s="Times New Roman"/>
      <w:color w:val="000000"/>
      <w:spacing w:val="10"/>
      <w:kern w:val="0"/>
      <w:sz w:val="20"/>
      <w:szCs w:val="20"/>
      <w:lang w:val="en-US" w:eastAsia="zh-CN" w:bidi="ar-SA"/>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eastAsia="宋体" w:cs="Times New Roman"/>
      <w:caps/>
      <w:snapToGrid w:val="0"/>
      <w:color w:val="000000"/>
      <w:kern w:val="0"/>
      <w:sz w:val="28"/>
      <w:szCs w:val="20"/>
      <w:u w:val="single"/>
      <w:lang w:val="en-GB" w:eastAsia="zh-CN" w:bidi="ar-SA"/>
    </w:rPr>
  </w:style>
  <w:style w:type="paragraph" w:customStyle="1" w:styleId="846">
    <w:name w:val="样式 标题 2标题 2 Char Char Char Char Char Char Char Char Char Char C..."/>
    <w:basedOn w:val="5"/>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bidi="ar-SA"/>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2"/>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5"/>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7"/>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8"/>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10"/>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9"/>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4"/>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7"/>
    <w:next w:val="7"/>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4"/>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7"/>
    <w:qFormat/>
    <w:uiPriority w:val="0"/>
    <w:pPr>
      <w:tabs>
        <w:tab w:val="left" w:pos="425"/>
      </w:tabs>
      <w:ind w:left="425" w:hanging="425"/>
    </w:pPr>
    <w:rPr>
      <w:rFonts w:ascii="Tahoma" w:hAnsi="Tahoma"/>
      <w:sz w:val="24"/>
      <w:szCs w:val="20"/>
    </w:rPr>
  </w:style>
  <w:style w:type="paragraph" w:customStyle="1" w:styleId="920">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eastAsia="宋体" w:cs="Times New Roman"/>
      <w:kern w:val="0"/>
      <w:sz w:val="24"/>
      <w:szCs w:val="20"/>
      <w:lang w:val="en-US" w:eastAsia="zh-CN" w:bidi="ar-SA"/>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7"/>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6"/>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5"/>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4"/>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4"/>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eastAsia="宋体" w:cs="Times New Roman"/>
      <w:sz w:val="24"/>
      <w:szCs w:val="24"/>
      <w:lang w:val="en-US" w:eastAsia="zh-CN" w:bidi="ar-SA"/>
    </w:rPr>
  </w:style>
  <w:style w:type="paragraph" w:customStyle="1" w:styleId="957">
    <w:name w:val="格式2"/>
    <w:basedOn w:val="5"/>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4"/>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rFonts w:ascii="Times New Roman" w:hAnsi="Times New Roman" w:eastAsia="宋体" w:cs="Times New Roman"/>
      <w:b/>
      <w:bCs/>
      <w:color w:val="0249A5"/>
      <w:sz w:val="14"/>
      <w:szCs w:val="14"/>
      <w:u w:val="none"/>
      <w:lang w:val="en-US" w:eastAsia="zh-CN" w:bidi="ar-SA"/>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eastAsia="宋体" w:cs="宋体"/>
      <w:sz w:val="24"/>
      <w:szCs w:val="20"/>
      <w:lang w:val="en-US" w:eastAsia="zh-CN" w:bidi="ar-SA"/>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eastAsia="宋体" w:cs="Arial"/>
      <w:kern w:val="2"/>
      <w:sz w:val="21"/>
      <w:szCs w:val="21"/>
      <w:lang w:val="en-US" w:eastAsia="zh-CN" w:bidi="ar-SA"/>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66">
    <w:name w:val="Char Char24"/>
    <w:qFormat/>
    <w:uiPriority w:val="0"/>
    <w:rPr>
      <w:rFonts w:ascii="Arial" w:hAnsi="Arial" w:eastAsia="黑体" w:cs="Times New Roman"/>
      <w:b/>
      <w:bCs/>
      <w:sz w:val="32"/>
      <w:szCs w:val="32"/>
      <w:lang w:val="en-US" w:eastAsia="zh-CN" w:bidi="ar-SA"/>
    </w:rPr>
  </w:style>
  <w:style w:type="character" w:customStyle="1" w:styleId="967">
    <w:name w:val="Char Char23"/>
    <w:qFormat/>
    <w:uiPriority w:val="0"/>
    <w:rPr>
      <w:rFonts w:ascii="Times New Roman" w:hAnsi="Times New Roman" w:eastAsia="宋体" w:cs="Times New Roman"/>
      <w:b/>
      <w:bCs/>
      <w:sz w:val="32"/>
      <w:szCs w:val="32"/>
      <w:lang w:val="en-US" w:eastAsia="zh-CN" w:bidi="ar-SA"/>
    </w:rPr>
  </w:style>
  <w:style w:type="character" w:customStyle="1" w:styleId="968">
    <w:name w:val="Char Char22"/>
    <w:qFormat/>
    <w:uiPriority w:val="0"/>
    <w:rPr>
      <w:rFonts w:ascii="宋体" w:hAnsi="宋体" w:eastAsia="宋体" w:cs="Times New Roman"/>
      <w:b/>
      <w:bCs/>
      <w:sz w:val="32"/>
      <w:szCs w:val="32"/>
      <w:lang w:val="en-US" w:eastAsia="zh-CN" w:bidi="ar-SA"/>
    </w:rPr>
  </w:style>
  <w:style w:type="character" w:customStyle="1" w:styleId="969">
    <w:name w:val="样式 宋体 小四1"/>
    <w:qFormat/>
    <w:uiPriority w:val="0"/>
    <w:rPr>
      <w:rFonts w:ascii="宋体" w:hAnsi="宋体" w:eastAsia="宋体" w:cs="Times New Roman"/>
      <w:sz w:val="24"/>
      <w:lang w:val="en-US" w:eastAsia="zh-CN" w:bidi="ar-SA"/>
    </w:rPr>
  </w:style>
  <w:style w:type="character" w:customStyle="1" w:styleId="970">
    <w:name w:val="px141"/>
    <w:qFormat/>
    <w:uiPriority w:val="0"/>
    <w:rPr>
      <w:rFonts w:hint="default" w:ascii="Verdana" w:hAnsi="Verdana" w:eastAsia="宋体" w:cs="Times New Roman"/>
      <w:sz w:val="23"/>
      <w:szCs w:val="23"/>
      <w:lang w:val="en-US" w:eastAsia="zh-CN" w:bidi="ar-SA"/>
    </w:rPr>
  </w:style>
  <w:style w:type="character" w:customStyle="1" w:styleId="971">
    <w:name w:val="Char Char16"/>
    <w:qFormat/>
    <w:uiPriority w:val="0"/>
    <w:rPr>
      <w:rFonts w:ascii="Times New Roman" w:hAnsi="Times New Roman" w:eastAsia="宋体" w:cs="Times New Roman"/>
      <w:sz w:val="24"/>
      <w:szCs w:val="24"/>
      <w:lang w:val="en-US" w:eastAsia="zh-CN" w:bidi="ar-SA"/>
    </w:rPr>
  </w:style>
  <w:style w:type="character" w:customStyle="1" w:styleId="972">
    <w:name w:val="表格文字图表文字 Char"/>
    <w:link w:val="973"/>
    <w:qFormat/>
    <w:uiPriority w:val="0"/>
    <w:rPr>
      <w:rFonts w:ascii="Times New Roman" w:hAnsi="Times New Roman" w:eastAsia="宋体" w:cs="Times New Roman"/>
      <w:kern w:val="0"/>
      <w:sz w:val="24"/>
      <w:szCs w:val="20"/>
      <w:lang w:val="en-US" w:eastAsia="zh-CN" w:bidi="ar-SA"/>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rFonts w:ascii="Times New Roman" w:hAnsi="Times New Roman" w:eastAsia="宋体" w:cs="Times New Roman"/>
      <w:kern w:val="0"/>
      <w:sz w:val="24"/>
      <w:szCs w:val="20"/>
      <w:lang w:val="en-US" w:eastAsia="zh-CN" w:bidi="ar-SA"/>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hAnsi="Times New Roman" w:eastAsia="宋体" w:cs="Times New Roman"/>
      <w:kern w:val="0"/>
      <w:sz w:val="24"/>
      <w:szCs w:val="20"/>
      <w:lang w:val="en-US" w:eastAsia="zh-CN" w:bidi="ar-SA"/>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eastAsia="宋体" w:cs="Times New Roman"/>
      <w:kern w:val="0"/>
      <w:sz w:val="24"/>
      <w:szCs w:val="21"/>
      <w:lang w:val="en-US" w:eastAsia="zh-CN" w:bidi="ar-SA"/>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rFonts w:ascii="Times New Roman" w:hAnsi="Times New Roman" w:eastAsia="宋体" w:cs="Times New Roman"/>
      <w:i/>
      <w:kern w:val="0"/>
      <w:sz w:val="20"/>
      <w:szCs w:val="24"/>
      <w:lang w:val="en-US" w:eastAsia="zh-CN" w:bidi="ar-SA"/>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rFonts w:ascii="Times New Roman" w:hAnsi="Times New Roman" w:eastAsia="宋体" w:cs="Times New Roman"/>
      <w:kern w:val="0"/>
      <w:sz w:val="24"/>
      <w:szCs w:val="24"/>
      <w:lang w:val="en-US" w:eastAsia="zh-CN" w:bidi="ar-SA"/>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lang w:val="en-US" w:eastAsia="zh-CN" w:bidi="ar-SA"/>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lang w:val="en-US" w:eastAsia="zh-CN" w:bidi="ar-SA"/>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hAnsi="Times New Roman" w:eastAsia="宋体" w:cs="Times New Roman"/>
      <w:snapToGrid w:val="0"/>
      <w:kern w:val="21"/>
      <w:sz w:val="24"/>
      <w:szCs w:val="20"/>
      <w:lang w:val="en-US" w:eastAsia="zh-CN" w:bidi="ar-SA"/>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23"/>
    <w:qFormat/>
    <w:uiPriority w:val="0"/>
    <w:pPr>
      <w:ind w:firstLine="420"/>
    </w:pPr>
    <w:rPr>
      <w:rFonts w:ascii="Times New Roman" w:hAnsi="Times New Roman"/>
      <w:szCs w:val="20"/>
    </w:rPr>
  </w:style>
  <w:style w:type="paragraph" w:customStyle="1" w:styleId="998">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1"/>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1"/>
    <w:qFormat/>
    <w:uiPriority w:val="0"/>
    <w:rPr>
      <w:rFonts w:ascii="宋体" w:hAnsi="Courier New"/>
      <w:szCs w:val="20"/>
    </w:rPr>
  </w:style>
  <w:style w:type="character" w:customStyle="1" w:styleId="1002">
    <w:name w:val="Char Char28"/>
    <w:qFormat/>
    <w:uiPriority w:val="0"/>
    <w:rPr>
      <w:rFonts w:ascii="Times New Roman" w:hAnsi="Times New Roman" w:eastAsia="宋体" w:cs="Times New Roman"/>
      <w:b/>
      <w:bCs/>
      <w:kern w:val="44"/>
      <w:sz w:val="44"/>
      <w:szCs w:val="44"/>
      <w:lang w:val="en-US" w:eastAsia="zh-CN" w:bidi="ar-SA"/>
    </w:rPr>
  </w:style>
  <w:style w:type="character" w:customStyle="1" w:styleId="1003">
    <w:name w:val="Char Char27"/>
    <w:qFormat/>
    <w:uiPriority w:val="0"/>
    <w:rPr>
      <w:rFonts w:ascii="Arial" w:hAnsi="Arial" w:eastAsia="黑体" w:cs="Times New Roman"/>
      <w:b/>
      <w:bCs/>
      <w:kern w:val="2"/>
      <w:sz w:val="32"/>
      <w:szCs w:val="32"/>
      <w:lang w:val="en-US" w:eastAsia="zh-CN" w:bidi="ar-SA"/>
    </w:rPr>
  </w:style>
  <w:style w:type="character" w:customStyle="1" w:styleId="1004">
    <w:name w:val="Char Char26"/>
    <w:qFormat/>
    <w:uiPriority w:val="0"/>
    <w:rPr>
      <w:rFonts w:ascii="Times New Roman" w:hAnsi="Times New Roman" w:eastAsia="宋体" w:cs="Times New Roman"/>
      <w:b/>
      <w:bCs/>
      <w:kern w:val="2"/>
      <w:sz w:val="32"/>
      <w:szCs w:val="32"/>
      <w:lang w:val="en-US" w:eastAsia="zh-CN" w:bidi="ar-SA"/>
    </w:rPr>
  </w:style>
  <w:style w:type="character" w:customStyle="1" w:styleId="1005">
    <w:name w:val="even Char"/>
    <w:qFormat/>
    <w:uiPriority w:val="0"/>
    <w:rPr>
      <w:rFonts w:ascii="Times New Roman" w:hAnsi="Times New Roman" w:eastAsia="宋体" w:cs="Times New Roman"/>
      <w:kern w:val="2"/>
      <w:sz w:val="18"/>
      <w:lang w:val="en-US" w:eastAsia="zh-CN" w:bidi="ar-SA"/>
    </w:rPr>
  </w:style>
  <w:style w:type="character" w:customStyle="1" w:styleId="1006">
    <w:name w:val="Heading 3 Char1 Char"/>
    <w:qFormat/>
    <w:uiPriority w:val="0"/>
    <w:rPr>
      <w:rFonts w:ascii="Times New Roman" w:hAnsi="PMingLiU" w:eastAsia="PMingLiU" w:cs="Times New Roman"/>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008">
    <w:name w:val="括弧级编号 Char Char"/>
    <w:link w:val="1009"/>
    <w:qFormat/>
    <w:uiPriority w:val="0"/>
    <w:rPr>
      <w:rFonts w:ascii="Times New Roman" w:hAnsi="Times New Roman" w:eastAsia="宋体" w:cs="Times New Roman"/>
      <w:kern w:val="0"/>
      <w:sz w:val="24"/>
      <w:szCs w:val="24"/>
      <w:lang w:val="en-US" w:eastAsia="zh-CN" w:bidi="ar-SA"/>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ascii="Times New Roman" w:hAnsi="Times New Roman" w:eastAsia="宋体" w:cs="Times New Roman"/>
      <w:kern w:val="2"/>
      <w:sz w:val="24"/>
      <w:szCs w:val="24"/>
      <w:lang w:val="en-US" w:eastAsia="zh-CN" w:bidi="ar-SA"/>
    </w:rPr>
  </w:style>
  <w:style w:type="character" w:customStyle="1" w:styleId="1011">
    <w:name w:val="Standards"/>
    <w:qFormat/>
    <w:uiPriority w:val="0"/>
    <w:rPr>
      <w:rFonts w:ascii="Univers" w:hAnsi="Univers" w:eastAsia="宋体" w:cs="Times New Roman"/>
      <w:sz w:val="24"/>
      <w:lang w:val="en-US" w:eastAsia="zh-CN" w:bidi="ar-SA"/>
    </w:rPr>
  </w:style>
  <w:style w:type="character" w:customStyle="1" w:styleId="1012">
    <w:name w:val="Plain Text Char Char"/>
    <w:link w:val="1013"/>
    <w:qFormat/>
    <w:uiPriority w:val="0"/>
    <w:rPr>
      <w:rFonts w:ascii="宋体" w:hAnsi="Courier New" w:eastAsia="宋体" w:cs="Times New Roman"/>
      <w:kern w:val="0"/>
      <w:sz w:val="20"/>
      <w:szCs w:val="20"/>
      <w:lang w:val="en-US" w:eastAsia="zh-CN" w:bidi="ar-SA"/>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hAnsi="Times New Roman" w:eastAsia="仿宋_GB2312" w:cs="Times New Roman"/>
      <w:b/>
      <w:sz w:val="32"/>
      <w:lang w:val="en-US" w:eastAsia="zh-CN" w:bidi="ar-SA"/>
    </w:rPr>
  </w:style>
  <w:style w:type="character" w:customStyle="1" w:styleId="1015">
    <w:name w:val="符号标题 Char Char"/>
    <w:link w:val="1016"/>
    <w:qFormat/>
    <w:uiPriority w:val="0"/>
    <w:rPr>
      <w:rFonts w:ascii="Times New Roman" w:hAnsi="Times New Roman" w:eastAsia="宋体" w:cs="Times New Roman"/>
      <w:kern w:val="0"/>
      <w:sz w:val="24"/>
      <w:szCs w:val="24"/>
      <w:lang w:val="en-US" w:eastAsia="zh-CN" w:bidi="ar-SA"/>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cs="Times New Roman"/>
      <w:bCs/>
      <w:szCs w:val="32"/>
      <w:lang w:val="en-US" w:eastAsia="zh-CN" w:bidi="ar-SA"/>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4"/>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6"/>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5"/>
    <w:qFormat/>
    <w:uiPriority w:val="0"/>
    <w:pPr>
      <w:spacing w:line="416" w:lineRule="auto"/>
    </w:pPr>
    <w:rPr>
      <w:rFonts w:ascii="宋体" w:hAnsi="宋体"/>
      <w:bCs w:val="0"/>
      <w:szCs w:val="20"/>
    </w:rPr>
  </w:style>
  <w:style w:type="character" w:customStyle="1" w:styleId="1041">
    <w:name w:val="已访问的超链接1"/>
    <w:qFormat/>
    <w:uiPriority w:val="99"/>
    <w:rPr>
      <w:rFonts w:ascii="Times New Roman" w:hAnsi="Times New Roman" w:eastAsia="宋体" w:cs="Times New Roman"/>
      <w:color w:val="800080"/>
      <w:u w:val="single"/>
      <w:lang w:val="en-US" w:eastAsia="zh-CN" w:bidi="ar-SA"/>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5"/>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5"/>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cs="Times New Roman"/>
      <w:b/>
      <w:bCs/>
      <w:sz w:val="24"/>
      <w:lang w:val="en-US" w:eastAsia="zh-CN" w:bidi="ar-SA"/>
    </w:rPr>
  </w:style>
  <w:style w:type="paragraph" w:customStyle="1" w:styleId="1052">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eastAsia="宋体" w:cs="Times New Roman"/>
      <w:sz w:val="24"/>
      <w:szCs w:val="24"/>
      <w:lang w:val="en-US" w:eastAsia="zh-CN" w:bidi="ar-SA"/>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7"/>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3"/>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cs="Times New Roman"/>
      <w:sz w:val="24"/>
      <w:szCs w:val="24"/>
      <w:lang w:val="en-US" w:eastAsia="zh-CN" w:bidi="ar-SA"/>
    </w:rPr>
  </w:style>
  <w:style w:type="paragraph" w:customStyle="1" w:styleId="1069">
    <w:name w:val="标题 一"/>
    <w:basedOn w:val="4"/>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5"/>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sz w:val="52"/>
      <w:szCs w:val="52"/>
    </w:rPr>
  </w:style>
  <w:style w:type="character" w:customStyle="1" w:styleId="1078">
    <w:name w:val="Char Char2"/>
    <w:qFormat/>
    <w:uiPriority w:val="0"/>
    <w:rPr>
      <w:rFonts w:ascii="Times New Roman" w:hAnsi="Times New Roman" w:eastAsia="宋体" w:cs="Times New Roman"/>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Times New Roman" w:hAnsi="Times New Roman" w:eastAsia="宋体" w:cs="Times New Roman"/>
      <w:kern w:val="0"/>
      <w:sz w:val="24"/>
      <w:lang w:val="en-US" w:eastAsia="zh-CN" w:bidi="ar-SA"/>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41"/>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ascii="Times New Roman" w:hAnsi="Times New Roman" w:eastAsia="宋体" w:cs="Times New Roman"/>
      <w:kern w:val="2"/>
      <w:sz w:val="18"/>
      <w:szCs w:val="18"/>
      <w:lang w:val="en-US" w:eastAsia="zh-CN" w:bidi="ar-SA"/>
    </w:rPr>
  </w:style>
  <w:style w:type="character" w:customStyle="1" w:styleId="1086">
    <w:name w:val="Char Char15"/>
    <w:qFormat/>
    <w:uiPriority w:val="0"/>
    <w:rPr>
      <w:rFonts w:ascii="Times New Roman" w:hAnsi="Times New Roman" w:eastAsia="宋体" w:cs="Times New Roman"/>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rFonts w:ascii="Times New Roman" w:hAnsi="Times New Roman" w:eastAsia="宋体" w:cs="Times New Roman"/>
      <w:kern w:val="2"/>
      <w:sz w:val="21"/>
      <w:lang w:val="en-US" w:eastAsia="zh-CN" w:bidi="ar-SA"/>
    </w:rPr>
  </w:style>
  <w:style w:type="character" w:customStyle="1" w:styleId="1089">
    <w:name w:val="纯文本 Char2"/>
    <w:qFormat/>
    <w:locked/>
    <w:uiPriority w:val="0"/>
    <w:rPr>
      <w:rFonts w:ascii="宋体" w:hAnsi="Courier New" w:eastAsia="宋体" w:cs="Courier New"/>
      <w:kern w:val="2"/>
      <w:sz w:val="21"/>
      <w:szCs w:val="21"/>
      <w:lang w:val="en-US" w:eastAsia="zh-CN" w:bidi="ar-SA"/>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5"/>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rFonts w:ascii="Times New Roman" w:hAnsi="Times New Roman" w:eastAsia="宋体" w:cs="Times New Roman"/>
      <w:i/>
      <w:kern w:val="0"/>
      <w:sz w:val="20"/>
      <w:szCs w:val="20"/>
      <w:lang w:val="en-US" w:eastAsia="zh-CN" w:bidi="ar-SA"/>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15"/>
    <w:next w:val="15"/>
    <w:qFormat/>
    <w:uiPriority w:val="0"/>
    <w:rPr>
      <w:rFonts w:ascii="Times New Roman" w:hAnsi="Times New Roman"/>
      <w:b/>
      <w:bCs/>
      <w:sz w:val="24"/>
    </w:rPr>
  </w:style>
  <w:style w:type="paragraph" w:customStyle="1" w:styleId="1112">
    <w:name w:val="TOC 标题111"/>
    <w:basedOn w:val="4"/>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rFonts w:ascii="Times New Roman" w:hAnsi="Times New Roman" w:eastAsia="宋体" w:cs="Times New Roman"/>
      <w:b/>
      <w:i/>
      <w:kern w:val="0"/>
      <w:sz w:val="20"/>
      <w:szCs w:val="20"/>
      <w:lang w:val="en-US" w:eastAsia="zh-CN" w:bidi="ar-SA"/>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rPr>
      <w:rFonts w:ascii="Times New Roman" w:hAnsi="Times New Roman" w:eastAsia="宋体" w:cs="Times New Roman"/>
      <w:lang w:val="en-US" w:eastAsia="zh-CN" w:bidi="ar-SA"/>
    </w:rPr>
  </w:style>
  <w:style w:type="character" w:customStyle="1" w:styleId="1163">
    <w:name w:val="apple-converted-space"/>
    <w:qFormat/>
    <w:uiPriority w:val="0"/>
    <w:rPr>
      <w:rFonts w:ascii="Times New Roman" w:hAnsi="Times New Roman" w:eastAsia="宋体" w:cs="Times New Roman"/>
      <w:lang w:val="en-US" w:eastAsia="zh-CN" w:bidi="ar-SA"/>
    </w:rPr>
  </w:style>
  <w:style w:type="character" w:customStyle="1" w:styleId="1164">
    <w:name w:val="正文文本 2 Char1"/>
    <w:qFormat/>
    <w:uiPriority w:val="0"/>
    <w:rPr>
      <w:rFonts w:hint="default" w:ascii="Times New Roman" w:hAnsi="Times New Roman" w:eastAsia="宋体" w:cs="Times New Roman"/>
      <w:szCs w:val="24"/>
      <w:lang w:val="en-US" w:eastAsia="zh-CN" w:bidi="ar-SA"/>
    </w:rPr>
  </w:style>
  <w:style w:type="character" w:customStyle="1" w:styleId="1165">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66">
    <w:name w:val="批注引用1"/>
    <w:qFormat/>
    <w:uiPriority w:val="0"/>
    <w:rPr>
      <w:rFonts w:ascii="Times New Roman" w:hAnsi="Times New Roman" w:eastAsia="宋体" w:cs="Times New Roman"/>
      <w:sz w:val="21"/>
      <w:szCs w:val="21"/>
      <w:lang w:val="en-US" w:eastAsia="zh-CN" w:bidi="ar-SA"/>
    </w:rPr>
  </w:style>
  <w:style w:type="character" w:customStyle="1" w:styleId="1167">
    <w:name w:val="副标题 Char1"/>
    <w:qFormat/>
    <w:uiPriority w:val="11"/>
    <w:rPr>
      <w:rFonts w:hint="default" w:ascii="Cambria" w:hAnsi="Cambria" w:eastAsia="宋体" w:cs="Times New Roman"/>
      <w:b/>
      <w:bCs/>
      <w:kern w:val="28"/>
      <w:sz w:val="32"/>
      <w:szCs w:val="32"/>
      <w:lang w:val="en-US" w:eastAsia="zh-CN" w:bidi="ar-SA"/>
    </w:rPr>
  </w:style>
  <w:style w:type="character" w:customStyle="1" w:styleId="1168">
    <w:name w:val="Char Char3"/>
    <w:qFormat/>
    <w:uiPriority w:val="0"/>
    <w:rPr>
      <w:rFonts w:ascii="Times New Roman" w:hAnsi="Times New Roman" w:eastAsia="宋体" w:cs="Times New Roman"/>
      <w:sz w:val="18"/>
      <w:szCs w:val="18"/>
      <w:lang w:val="en-US" w:eastAsia="zh-CN" w:bidi="ar-SA"/>
    </w:rPr>
  </w:style>
  <w:style w:type="character" w:customStyle="1" w:styleId="1169">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5"/>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hAnsi="Times New Roman" w:eastAsia="黑体" w:cs="黑体"/>
      <w:spacing w:val="22"/>
      <w:w w:val="100"/>
      <w:position w:val="3"/>
      <w:sz w:val="28"/>
      <w:szCs w:val="28"/>
      <w:lang w:val="en-US" w:eastAsia="zh-CN" w:bidi="ar-SA"/>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style>
  <w:style w:type="character" w:customStyle="1" w:styleId="1182">
    <w:name w:val="5级小标题 Char"/>
    <w:basedOn w:val="928"/>
    <w:link w:val="1036"/>
    <w:qFormat/>
    <w:uiPriority w:val="0"/>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7"/>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eastAsia="宋体" w:cs="宋体"/>
      <w:sz w:val="24"/>
      <w:szCs w:val="20"/>
      <w:lang w:val="en-US" w:eastAsia="zh-CN" w:bidi="ar-SA"/>
    </w:rPr>
  </w:style>
  <w:style w:type="paragraph" w:customStyle="1" w:styleId="1187">
    <w:name w:val="7"/>
    <w:basedOn w:val="1"/>
    <w:next w:val="3"/>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eastAsia="宋体" w:cs="Times New Roman"/>
      <w:sz w:val="28"/>
      <w:szCs w:val="28"/>
      <w:lang w:val="en-US" w:eastAsia="zh-CN" w:bidi="ar-SA"/>
    </w:rPr>
  </w:style>
  <w:style w:type="table" w:customStyle="1" w:styleId="1189">
    <w:name w:val="Table"/>
    <w:basedOn w:val="90"/>
    <w:qFormat/>
    <w:uiPriority w:val="0"/>
    <w:pPr>
      <w:widowControl w:val="0"/>
      <w:snapToGrid w:val="0"/>
    </w:pPr>
    <w:tblPr>
      <w:tblLayout w:type="fixed"/>
    </w:tblPr>
    <w:trPr>
      <w:cantSplit/>
    </w:trPr>
    <w:tcPr>
      <w:vAlign w:val="center"/>
    </w:tcPr>
    <w:tblStylePr w:type="firstRow">
      <w:tblPr>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eastAsia="宋体" w:cs="Times New Roman"/>
      <w:sz w:val="24"/>
      <w:szCs w:val="20"/>
      <w:lang w:val="en-US" w:eastAsia="zh-CN" w:bidi="ar-SA"/>
    </w:rPr>
  </w:style>
  <w:style w:type="character" w:customStyle="1" w:styleId="1192">
    <w:name w:val="题注 字符"/>
    <w:link w:val="24"/>
    <w:qFormat/>
    <w:uiPriority w:val="0"/>
    <w:rPr>
      <w:rFonts w:ascii="Arial" w:hAnsi="Arial" w:eastAsia="黑体" w:cs="Arial"/>
      <w:sz w:val="20"/>
      <w:szCs w:val="20"/>
      <w:lang w:val="en-US" w:eastAsia="zh-CN" w:bidi="ar-SA"/>
    </w:rPr>
  </w:style>
  <w:style w:type="character" w:customStyle="1" w:styleId="1193">
    <w:name w:val="样式 宋体 小四 首行缩进:  0.93 厘米 段前: 11.15 磅 段后: 11.15 磅1 Char"/>
    <w:link w:val="518"/>
    <w:qFormat/>
    <w:uiPriority w:val="0"/>
    <w:rPr>
      <w:rFonts w:ascii="宋体" w:hAnsi="Times New Roman" w:eastAsia="宋体" w:cs="Times New Roman"/>
      <w:sz w:val="24"/>
      <w:szCs w:val="20"/>
      <w:lang w:val="en-US" w:eastAsia="zh-CN" w:bidi="ar-SA"/>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cs="Times New Roman"/>
      <w:sz w:val="24"/>
      <w:szCs w:val="24"/>
      <w:lang w:val="en-US" w:eastAsia="zh-CN" w:bidi="ar-SA"/>
    </w:rPr>
  </w:style>
  <w:style w:type="paragraph" w:customStyle="1" w:styleId="1196">
    <w:name w:val="级别2"/>
    <w:basedOn w:val="4"/>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eastAsia="宋体" w:cs="Tahoma"/>
      <w:kern w:val="0"/>
      <w:sz w:val="20"/>
      <w:lang w:val="en-US" w:eastAsia="en-US" w:bidi="ar-SA"/>
    </w:rPr>
  </w:style>
  <w:style w:type="paragraph" w:customStyle="1" w:styleId="1198">
    <w:name w:val="样式 正文首行缩进"/>
    <w:basedOn w:val="2"/>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eastAsia="宋体" w:cs="Tahoma"/>
      <w:kern w:val="0"/>
      <w:sz w:val="20"/>
      <w:szCs w:val="20"/>
      <w:lang w:val="en-US" w:eastAsia="en-US" w:bidi="ar-SA"/>
    </w:rPr>
  </w:style>
  <w:style w:type="character" w:customStyle="1" w:styleId="1200">
    <w:name w:val="顺序编号-zlb Char"/>
    <w:link w:val="1201"/>
    <w:qFormat/>
    <w:uiPriority w:val="0"/>
    <w:rPr>
      <w:rFonts w:ascii="Times New Roman" w:hAnsi="Times New Roman" w:eastAsia="宋体" w:cs="Times New Roman"/>
      <w:lang w:val="en-US" w:eastAsia="en-US" w:bidi="ar-SA"/>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eastAsia="宋体" w:cs="宋体"/>
      <w:kern w:val="0"/>
      <w:sz w:val="24"/>
      <w:szCs w:val="20"/>
      <w:lang w:val="en-US" w:eastAsia="en-US" w:bidi="ar-SA"/>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eastAsia="宋体" w:cs="Tahoma"/>
      <w:kern w:val="0"/>
      <w:sz w:val="20"/>
      <w:szCs w:val="20"/>
      <w:lang w:val="en-US" w:eastAsia="en-US" w:bidi="ar-SA"/>
    </w:rPr>
  </w:style>
  <w:style w:type="character" w:customStyle="1" w:styleId="1206">
    <w:name w:val="无间隔 Char"/>
    <w:link w:val="1173"/>
    <w:qFormat/>
    <w:uiPriority w:val="0"/>
    <w:rPr>
      <w:rFonts w:ascii="Calibri" w:hAnsi="Calibri" w:eastAsia="宋体" w:cs="Times New Roman"/>
      <w:kern w:val="2"/>
      <w:sz w:val="21"/>
      <w:szCs w:val="22"/>
      <w:lang w:val="en-US" w:eastAsia="zh-CN" w:bidi="ar-SA"/>
    </w:rPr>
  </w:style>
  <w:style w:type="character" w:customStyle="1" w:styleId="1207">
    <w:name w:val="正文－zlb Char Char"/>
    <w:link w:val="1208"/>
    <w:qFormat/>
    <w:uiPriority w:val="0"/>
    <w:rPr>
      <w:rFonts w:ascii="宋体" w:hAnsi="Tahoma" w:eastAsia="宋体" w:cs="宋体"/>
      <w:kern w:val="0"/>
      <w:sz w:val="24"/>
      <w:szCs w:val="24"/>
      <w:lang w:val="en-US" w:eastAsia="zh-CN" w:bidi="ar-SA"/>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rPr>
      <w:rFonts w:ascii="Calibri" w:hAnsi="Calibri" w:eastAsia="宋体" w:cs="Times New Roman"/>
      <w:lang w:val="en-US" w:eastAsia="zh-CN" w:bidi="ar-SA"/>
    </w:rPr>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eastAsia="宋体" w:cs="Tahoma"/>
      <w:b/>
      <w:bCs/>
      <w:kern w:val="2"/>
      <w:sz w:val="32"/>
      <w:szCs w:val="32"/>
      <w:lang w:val="en-US" w:eastAsia="en-US" w:bidi="ar-SA"/>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val="en-US" w:eastAsia="en-US" w:bidi="ar-SA"/>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4"/>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eastAsia="宋体" w:cs="Times New Roman"/>
      <w:b/>
      <w:szCs w:val="21"/>
      <w:lang w:val="en-US" w:eastAsia="zh-CN" w:bidi="ar-SA"/>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7"/>
    <w:next w:val="6"/>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Times New Roman" w:hAnsi="Times New Roman" w:eastAsia="宋体" w:cs="Times New Roman"/>
      <w:sz w:val="24"/>
      <w:szCs w:val="21"/>
      <w:lang w:val="en-US" w:eastAsia="zh-CN" w:bidi="ar-SA"/>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ascii="Times New Roman" w:hAnsi="Times New Roman" w:eastAsia="宋体" w:cs="Times New Roman"/>
      <w:b/>
      <w:bCs/>
      <w:kern w:val="44"/>
      <w:sz w:val="28"/>
      <w:szCs w:val="44"/>
      <w:lang w:val="en-US" w:eastAsia="zh-CN" w:bidi="ar-SA"/>
    </w:rPr>
  </w:style>
  <w:style w:type="character" w:customStyle="1" w:styleId="1287">
    <w:name w:val="标题 2 Char Char1"/>
    <w:qFormat/>
    <w:uiPriority w:val="0"/>
    <w:rPr>
      <w:rFonts w:ascii="Arial" w:hAnsi="Arial" w:eastAsia="宋体" w:cs="Times New Roman"/>
      <w:b/>
      <w:bCs/>
      <w:kern w:val="44"/>
      <w:sz w:val="24"/>
      <w:szCs w:val="32"/>
      <w:lang w:val="en-US" w:eastAsia="zh-CN" w:bidi="ar-SA"/>
    </w:rPr>
  </w:style>
  <w:style w:type="character" w:customStyle="1" w:styleId="1288">
    <w:name w:val="标题 3 Char Char"/>
    <w:qFormat/>
    <w:uiPriority w:val="0"/>
    <w:rPr>
      <w:rFonts w:ascii="Times New Roman" w:hAnsi="Times New Roman" w:eastAsia="宋体" w:cs="Times New Roman"/>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8"/>
      </w:numPr>
      <w:tabs>
        <w:tab w:val="clear" w:pos="2"/>
      </w:tabs>
      <w:ind w:left="0" w:firstLine="0"/>
      <w:jc w:val="center"/>
    </w:pPr>
  </w:style>
  <w:style w:type="paragraph" w:customStyle="1" w:styleId="1292">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rFonts w:ascii="Times New Roman" w:hAnsi="Times New Roman" w:eastAsia="宋体" w:cs="Times New Roman"/>
      <w:b/>
      <w:bCs/>
      <w:szCs w:val="32"/>
      <w:lang w:val="en-US" w:eastAsia="zh-CN" w:bidi="ar-SA"/>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9"/>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rFonts w:ascii="Times New Roman" w:hAnsi="Times New Roman" w:eastAsia="宋体" w:cs="Times New Roman"/>
      <w:sz w:val="22"/>
      <w:szCs w:val="22"/>
      <w:lang w:val="en-US" w:eastAsia="zh-CN" w:bidi="ar-SA"/>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eastAsia="宋体" w:cs="Arial"/>
      <w:kern w:val="0"/>
      <w:sz w:val="28"/>
      <w:szCs w:val="28"/>
      <w:lang w:val="en-US" w:eastAsia="zh-CN" w:bidi="ar-SA"/>
    </w:rPr>
  </w:style>
  <w:style w:type="paragraph" w:customStyle="1" w:styleId="1320">
    <w:name w:val="样式 正文缩进 + 黑色"/>
    <w:basedOn w:val="23"/>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eastAsia="宋体" w:cs="Courier New"/>
      <w:kern w:val="2"/>
      <w:lang w:val="en-US" w:eastAsia="zh-CN" w:bidi="ar-SA"/>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ascii="Times New Roman" w:hAnsi="Times New Roman" w:eastAsia="宋体" w:cs="Times New Roman"/>
      <w:kern w:val="2"/>
      <w:sz w:val="18"/>
      <w:lang w:val="en-US" w:eastAsia="zh-CN" w:bidi="ar-SA"/>
    </w:rPr>
  </w:style>
  <w:style w:type="paragraph" w:customStyle="1" w:styleId="1326">
    <w:name w:val="合同1"/>
    <w:basedOn w:val="4"/>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4"/>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7"/>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eastAsia="宋体" w:cs="宋体"/>
      <w:color w:val="000000"/>
      <w:kern w:val="0"/>
      <w:szCs w:val="20"/>
      <w:lang w:val="en-US" w:eastAsia="zh-CN" w:bidi="ar-SA"/>
    </w:rPr>
  </w:style>
  <w:style w:type="paragraph" w:customStyle="1" w:styleId="1348">
    <w:name w:val="样式 标题 2Title2H2h22nd levelheading 2Underrubrik1prop2PIM2..."/>
    <w:basedOn w:val="5"/>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hAnsi="Times New Roman" w:eastAsia="仿宋_GB2312" w:cs="Times New Roman"/>
      <w:kern w:val="0"/>
      <w:sz w:val="24"/>
      <w:szCs w:val="24"/>
      <w:lang w:val="en-US" w:eastAsia="zh-CN" w:bidi="ar-SA"/>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eastAsia="宋体" w:cs="Times New Roman"/>
      <w:kern w:val="0"/>
      <w:sz w:val="28"/>
      <w:szCs w:val="20"/>
      <w:lang w:val="en-US" w:eastAsia="zh-CN" w:bidi="ar-SA"/>
    </w:rPr>
  </w:style>
  <w:style w:type="character" w:customStyle="1" w:styleId="1353">
    <w:name w:val="ZK_正文缩进 Char"/>
    <w:link w:val="1354"/>
    <w:qFormat/>
    <w:locked/>
    <w:uiPriority w:val="0"/>
    <w:rPr>
      <w:rFonts w:ascii="Times New Roman" w:hAnsi="Times New Roman" w:eastAsia="宋体" w:cs="Times New Roman"/>
      <w:kern w:val="0"/>
      <w:sz w:val="24"/>
      <w:szCs w:val="20"/>
      <w:lang w:val="en-US" w:eastAsia="zh-CN" w:bidi="ar-SA"/>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rFonts w:ascii="Times New Roman" w:hAnsi="Times New Roman" w:eastAsia="宋体" w:cs="Times New Roman"/>
      <w:kern w:val="0"/>
      <w:sz w:val="24"/>
      <w:szCs w:val="20"/>
      <w:lang w:val="en-US" w:eastAsia="zh-CN" w:bidi="ar-SA"/>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kern w:val="0"/>
      <w:sz w:val="28"/>
      <w:szCs w:val="20"/>
      <w:lang w:val="en-US" w:eastAsia="zh-CN" w:bidi="ar-SA"/>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rFonts w:ascii="Calibri" w:hAnsi="Calibri" w:eastAsia="宋体" w:cs="Times New Roman"/>
      <w:kern w:val="2"/>
      <w:sz w:val="21"/>
      <w:szCs w:val="22"/>
      <w:lang w:val="en-US" w:eastAsia="zh-CN" w:bidi="ar-SA"/>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6"/>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3"/>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2"/>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76">
    <w:name w:val="bold size20 gray1 fontsans"/>
    <w:qFormat/>
    <w:uiPriority w:val="0"/>
    <w:rPr>
      <w:rFonts w:ascii="Times New Roman" w:hAnsi="Times New Roman" w:eastAsia="宋体" w:cs="Times New Roman"/>
      <w:lang w:val="en-US" w:eastAsia="zh-CN" w:bidi="ar-SA"/>
    </w:rPr>
  </w:style>
  <w:style w:type="character" w:customStyle="1" w:styleId="1377">
    <w:name w:val="article1"/>
    <w:qFormat/>
    <w:uiPriority w:val="0"/>
    <w:rPr>
      <w:rFonts w:ascii="Times New Roman" w:hAnsi="Times New Roman" w:eastAsia="宋体" w:cs="Times New Roman"/>
      <w:sz w:val="22"/>
      <w:szCs w:val="22"/>
      <w:lang w:val="en-US" w:eastAsia="zh-CN" w:bidi="ar-SA"/>
    </w:rPr>
  </w:style>
  <w:style w:type="character" w:customStyle="1" w:styleId="1378">
    <w:name w:val="title2 style1"/>
    <w:qFormat/>
    <w:uiPriority w:val="0"/>
    <w:rPr>
      <w:rFonts w:ascii="Times New Roman" w:hAnsi="Times New Roman" w:eastAsia="宋体" w:cs="Times New Roman"/>
      <w:lang w:val="en-US" w:eastAsia="zh-CN" w:bidi="ar-SA"/>
    </w:rPr>
  </w:style>
  <w:style w:type="character" w:customStyle="1" w:styleId="1379">
    <w:name w:val="bluetxt1"/>
    <w:qFormat/>
    <w:uiPriority w:val="0"/>
    <w:rPr>
      <w:rFonts w:ascii="Times New Roman" w:hAnsi="Times New Roman" w:eastAsia="宋体" w:cs="Times New Roman"/>
      <w:lang w:val="en-US" w:eastAsia="zh-CN" w:bidi="ar-SA"/>
    </w:rPr>
  </w:style>
  <w:style w:type="character" w:customStyle="1" w:styleId="1380">
    <w:name w:val="tcnt3"/>
    <w:qFormat/>
    <w:uiPriority w:val="0"/>
    <w:rPr>
      <w:rFonts w:ascii="Times New Roman" w:hAnsi="Times New Roman" w:eastAsia="宋体" w:cs="Times New Roman"/>
      <w:lang w:val="en-US" w:eastAsia="zh-CN" w:bidi="ar-SA"/>
    </w:rPr>
  </w:style>
  <w:style w:type="character" w:customStyle="1" w:styleId="1381">
    <w:name w:val="H4 Char1"/>
    <w:qFormat/>
    <w:uiPriority w:val="0"/>
    <w:rPr>
      <w:rFonts w:ascii="宋体" w:hAnsi="Arial" w:eastAsia="宋体" w:cs="Times New Roman"/>
      <w:bCs/>
      <w:kern w:val="2"/>
      <w:sz w:val="24"/>
      <w:szCs w:val="28"/>
      <w:lang w:val="en-US" w:eastAsia="zh-CN" w:bidi="ar-SA"/>
    </w:rPr>
  </w:style>
  <w:style w:type="character" w:customStyle="1" w:styleId="1382">
    <w:name w:val="b Char1"/>
    <w:qFormat/>
    <w:uiPriority w:val="0"/>
    <w:rPr>
      <w:rFonts w:ascii="宋体" w:hAnsi="Times New Roman" w:eastAsia="宋体" w:cs="Times New Roman"/>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ascii="Times New Roman" w:hAnsi="PMingLiU" w:eastAsia="MS Gothic" w:cs="Times New Roman"/>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385">
    <w:name w:val="tpc_content1"/>
    <w:qFormat/>
    <w:uiPriority w:val="0"/>
    <w:rPr>
      <w:rFonts w:ascii="Times New Roman" w:hAnsi="Times New Roman" w:eastAsia="宋体" w:cs="Times New Roman"/>
      <w:sz w:val="20"/>
      <w:szCs w:val="20"/>
      <w:lang w:val="en-US" w:eastAsia="zh-CN" w:bidi="ar-SA"/>
    </w:rPr>
  </w:style>
  <w:style w:type="character" w:customStyle="1" w:styleId="1386">
    <w:name w:val="555 Char"/>
    <w:link w:val="1387"/>
    <w:qFormat/>
    <w:uiPriority w:val="0"/>
    <w:rPr>
      <w:rFonts w:ascii="Calibri" w:hAnsi="Calibri" w:eastAsia="宋体" w:cs="Times New Roman"/>
      <w:sz w:val="28"/>
      <w:szCs w:val="28"/>
      <w:lang w:val="en-US" w:eastAsia="zh-CN" w:bidi="ar-SA"/>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ascii="Times New Roman" w:hAnsi="Times New Roman" w:eastAsia="黑体" w:cs="Times New Roman"/>
      <w:kern w:val="0"/>
      <w:sz w:val="32"/>
      <w:lang w:val="en-US" w:eastAsia="zh-CN" w:bidi="ar-SA"/>
    </w:rPr>
  </w:style>
  <w:style w:type="paragraph" w:customStyle="1" w:styleId="1389">
    <w:name w:val="样式 标题 1标题1标题 1 1章节第一层论文题目章节标题 +"/>
    <w:basedOn w:val="4"/>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rFonts w:ascii="Times New Roman" w:hAnsi="Times New Roman" w:eastAsia="宋体" w:cs="Times New Roman"/>
      <w:smallCaps/>
      <w:kern w:val="44"/>
      <w:sz w:val="28"/>
      <w:szCs w:val="28"/>
      <w:lang w:val="en-US" w:eastAsia="zh-CN" w:bidi="ar-SA"/>
    </w:rPr>
  </w:style>
  <w:style w:type="paragraph" w:customStyle="1" w:styleId="1391">
    <w:name w:val="样式 正文缩进123"/>
    <w:basedOn w:val="23"/>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Times New Roman" w:hAnsi="Times New Roman" w:eastAsia="黑体" w:cs="Times New Roman"/>
      <w:lang w:val="en-US" w:eastAsia="zh-CN" w:bidi="ar-SA"/>
    </w:rPr>
  </w:style>
  <w:style w:type="character" w:customStyle="1" w:styleId="1393">
    <w:name w:val="样式 ！正文1） + (符号) 宋体 Char"/>
    <w:link w:val="1394"/>
    <w:qFormat/>
    <w:uiPriority w:val="0"/>
    <w:rPr>
      <w:rFonts w:ascii="Times New Roman" w:hAnsi="Times New Roman" w:eastAsia="宋体" w:cs="Times New Roman"/>
      <w:kern w:val="0"/>
      <w:sz w:val="27"/>
      <w:szCs w:val="27"/>
      <w:lang w:val="en-US" w:eastAsia="zh-CN" w:bidi="ar-SA"/>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3"/>
    <w:next w:val="33"/>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6"/>
    <w:next w:val="33"/>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5"/>
    <w:next w:val="33"/>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4"/>
    <w:next w:val="33"/>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7"/>
    <w:qFormat/>
    <w:uiPriority w:val="0"/>
    <w:pPr>
      <w:numPr>
        <w:ilvl w:val="3"/>
        <w:numId w:val="23"/>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5"/>
    <w:qFormat/>
    <w:uiPriority w:val="0"/>
    <w:pPr>
      <w:numPr>
        <w:ilvl w:val="1"/>
        <w:numId w:val="23"/>
      </w:numPr>
      <w:spacing w:before="100" w:line="413" w:lineRule="auto"/>
    </w:pPr>
    <w:rPr>
      <w:rFonts w:eastAsia="黑体" w:cs="宋体"/>
      <w:sz w:val="28"/>
      <w:szCs w:val="20"/>
    </w:rPr>
  </w:style>
  <w:style w:type="paragraph" w:customStyle="1" w:styleId="1410">
    <w:name w:val="样式 标题 2编号标题22 headlinehheadlineS&amp;R2ERMH2H2h2l22nd leve..."/>
    <w:basedOn w:val="5"/>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4"/>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6"/>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4"/>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5"/>
    <w:next w:val="1"/>
    <w:qFormat/>
    <w:uiPriority w:val="0"/>
    <w:pPr>
      <w:numPr>
        <w:ilvl w:val="0"/>
        <w:numId w:val="24"/>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8"/>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9"/>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10"/>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11"/>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2"/>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lang w:val="en-US" w:eastAsia="zh-CN" w:bidi="ar-SA"/>
    </w:rPr>
  </w:style>
  <w:style w:type="character" w:customStyle="1" w:styleId="1437">
    <w:name w:val="HTML Markup"/>
    <w:qFormat/>
    <w:uiPriority w:val="0"/>
    <w:rPr>
      <w:rFonts w:ascii="Times New Roman" w:hAnsi="Times New Roman" w:eastAsia="宋体" w:cs="Times New Roman"/>
      <w:vanish/>
      <w:color w:val="FF0000"/>
      <w:lang w:val="en-US" w:eastAsia="zh-CN" w:bidi="ar-SA"/>
    </w:rPr>
  </w:style>
  <w:style w:type="character" w:customStyle="1" w:styleId="1438">
    <w:name w:val="标题 5 Char1"/>
    <w:qFormat/>
    <w:uiPriority w:val="0"/>
    <w:rPr>
      <w:rFonts w:ascii="宋体" w:hAnsi="宋体" w:eastAsia="宋体" w:cs="Times New Roman"/>
      <w:kern w:val="2"/>
      <w:sz w:val="21"/>
      <w:u w:val="single"/>
      <w:lang w:val="en-US" w:eastAsia="zh-CN" w:bidi="ar-SA"/>
    </w:rPr>
  </w:style>
  <w:style w:type="character" w:customStyle="1" w:styleId="1439">
    <w:name w:val="标题 8 Char1"/>
    <w:qFormat/>
    <w:uiPriority w:val="0"/>
    <w:rPr>
      <w:rFonts w:ascii="Arial" w:hAnsi="Arial" w:eastAsia="黑体" w:cs="Times New Roman"/>
      <w:sz w:val="24"/>
      <w:szCs w:val="24"/>
      <w:lang w:val="en-US" w:eastAsia="zh-CN" w:bidi="ar-SA"/>
    </w:rPr>
  </w:style>
  <w:style w:type="character" w:customStyle="1" w:styleId="1440">
    <w:name w:val="内文 Char"/>
    <w:link w:val="1441"/>
    <w:qFormat/>
    <w:uiPriority w:val="0"/>
    <w:rPr>
      <w:rFonts w:ascii="Arial" w:hAnsi="Arial" w:eastAsia="宋体" w:cs="Times New Roman"/>
      <w:lang w:val="en-US" w:eastAsia="zh-CN" w:bidi="ar-SA"/>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lang w:val="en-US" w:eastAsia="zh-CN" w:bidi="ar-SA"/>
    </w:rPr>
  </w:style>
  <w:style w:type="character" w:customStyle="1" w:styleId="1443">
    <w:name w:val="样式 四号"/>
    <w:qFormat/>
    <w:uiPriority w:val="0"/>
    <w:rPr>
      <w:rFonts w:ascii="Times New Roman" w:hAnsi="Times New Roman" w:eastAsia="宋体" w:cs="Times New Roman"/>
      <w:sz w:val="24"/>
      <w:lang w:val="en-US" w:eastAsia="zh-CN" w:bidi="ar-SA"/>
    </w:rPr>
  </w:style>
  <w:style w:type="character" w:customStyle="1" w:styleId="1444">
    <w:name w:val="正文文本缩进 2 Char1"/>
    <w:qFormat/>
    <w:uiPriority w:val="0"/>
    <w:rPr>
      <w:rFonts w:ascii="Times New Roman" w:hAnsi="Times New Roman" w:eastAsia="宋体" w:cs="Times New Roman"/>
      <w:kern w:val="2"/>
      <w:sz w:val="21"/>
      <w:lang w:val="en-US" w:eastAsia="zh-CN" w:bidi="ar-SA"/>
    </w:rPr>
  </w:style>
  <w:style w:type="character" w:customStyle="1" w:styleId="1445">
    <w:name w:val="标题 6 Char1"/>
    <w:qFormat/>
    <w:uiPriority w:val="0"/>
    <w:rPr>
      <w:rFonts w:ascii="Arial" w:hAnsi="Arial" w:eastAsia="黑体" w:cs="Times New Roman"/>
      <w:b/>
      <w:bCs/>
      <w:sz w:val="24"/>
      <w:szCs w:val="24"/>
      <w:lang w:val="en-US" w:eastAsia="zh-CN" w:bidi="ar-SA"/>
    </w:rPr>
  </w:style>
  <w:style w:type="character" w:customStyle="1" w:styleId="1446">
    <w:name w:val="正文文字缩进1 Char Char"/>
    <w:qFormat/>
    <w:uiPriority w:val="0"/>
    <w:rPr>
      <w:rFonts w:ascii="Times New Roman" w:hAnsi="Times New Roman" w:eastAsia="宋体" w:cs="Times New Roman"/>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Times New Roman" w:hAnsi="Times New Roman" w:eastAsia="Times New Roman" w:cs="Times New Roman"/>
      <w:color w:val="000000"/>
      <w:kern w:val="0"/>
      <w:sz w:val="20"/>
      <w:lang w:val="en-US" w:eastAsia="zh-CN" w:bidi="ar-SA"/>
    </w:rPr>
  </w:style>
  <w:style w:type="paragraph" w:customStyle="1" w:styleId="1448">
    <w:name w:val="样式 纯文本普通文字 Char纯文本 Char Char普通文字纯文本 Char Char Char Char Char...6"/>
    <w:basedOn w:val="41"/>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cs="Times New Roman"/>
      <w:sz w:val="21"/>
      <w:szCs w:val="21"/>
      <w:lang w:val="en-US" w:eastAsia="zh-CN" w:bidi="ar-SA"/>
    </w:rPr>
  </w:style>
  <w:style w:type="character" w:customStyle="1" w:styleId="1450">
    <w:name w:val="标题 7 Char1"/>
    <w:qFormat/>
    <w:uiPriority w:val="0"/>
    <w:rPr>
      <w:rFonts w:ascii="Times New Roman" w:hAnsi="Times New Roman" w:eastAsia="宋体" w:cs="Times New Roman"/>
      <w:b/>
      <w:bCs/>
      <w:sz w:val="24"/>
      <w:szCs w:val="24"/>
      <w:lang w:val="en-US" w:eastAsia="zh-CN" w:bidi="ar-SA"/>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lang w:val="en-US" w:eastAsia="zh-CN" w:bidi="ar-SA"/>
    </w:rPr>
  </w:style>
  <w:style w:type="paragraph" w:customStyle="1" w:styleId="1456">
    <w:name w:val="样式 标题 8 + 仿宋"/>
    <w:basedOn w:val="11"/>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lang w:val="en-US" w:eastAsia="zh-CN" w:bidi="ar-SA"/>
    </w:rPr>
  </w:style>
  <w:style w:type="character" w:customStyle="1" w:styleId="1460">
    <w:name w:val="宏文本 字符"/>
    <w:basedOn w:val="79"/>
    <w:link w:val="773"/>
    <w:qFormat/>
    <w:uiPriority w:val="0"/>
    <w:rPr>
      <w:rFonts w:ascii="Courier New" w:hAnsi="Courier New" w:eastAsia="宋体" w:cs="Courier New"/>
      <w:sz w:val="24"/>
      <w:szCs w:val="24"/>
      <w:lang w:val="en-US" w:eastAsia="zh-CN" w:bidi="ar-SA"/>
    </w:rPr>
  </w:style>
  <w:style w:type="character" w:customStyle="1" w:styleId="1461">
    <w:name w:val="签名 字符"/>
    <w:basedOn w:val="79"/>
    <w:link w:val="775"/>
    <w:qFormat/>
    <w:uiPriority w:val="0"/>
    <w:rPr>
      <w:rFonts w:ascii="Times New Roman" w:hAnsi="Times New Roman" w:eastAsia="宋体" w:cs="Times New Roman"/>
      <w:kern w:val="0"/>
      <w:sz w:val="20"/>
      <w:szCs w:val="20"/>
      <w:lang w:val="en-US" w:eastAsia="zh-CN" w:bidi="ar-SA"/>
    </w:rPr>
  </w:style>
  <w:style w:type="character" w:customStyle="1" w:styleId="1462">
    <w:name w:val="页脚 Char2"/>
    <w:semiHidden/>
    <w:qFormat/>
    <w:uiPriority w:val="99"/>
    <w:rPr>
      <w:rFonts w:ascii="Times New Roman" w:hAnsi="Times New Roman" w:eastAsia="宋体" w:cs="Times New Roman"/>
      <w:sz w:val="18"/>
      <w:szCs w:val="18"/>
      <w:lang w:val="en-US" w:eastAsia="zh-CN" w:bidi="ar-SA"/>
    </w:rPr>
  </w:style>
  <w:style w:type="character" w:customStyle="1" w:styleId="1463">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64">
    <w:name w:val="页眉 Char2"/>
    <w:semiHidden/>
    <w:qFormat/>
    <w:uiPriority w:val="99"/>
    <w:rPr>
      <w:rFonts w:ascii="Times New Roman" w:hAnsi="Times New Roman" w:eastAsia="宋体" w:cs="Times New Roman"/>
      <w:sz w:val="18"/>
      <w:szCs w:val="18"/>
      <w:lang w:val="en-US" w:eastAsia="zh-CN" w:bidi="ar-SA"/>
    </w:rPr>
  </w:style>
  <w:style w:type="character" w:customStyle="1" w:styleId="1465">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66">
    <w:name w:val="样式 正文文本 + 首行缩进:  2 字符1"/>
    <w:basedOn w:val="3"/>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lang w:val="en-US" w:eastAsia="zh-CN" w:bidi="ar-SA"/>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4"/>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6"/>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4"/>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3"/>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7"/>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ascii="Times New Roman" w:hAnsi="Times New Roman" w:eastAsia="宋体" w:cs="Times New Roman"/>
      <w:b/>
      <w:bCs/>
      <w:kern w:val="44"/>
      <w:sz w:val="44"/>
      <w:szCs w:val="44"/>
      <w:lang w:val="en-US" w:eastAsia="zh-CN" w:bidi="ar-SA"/>
    </w:rPr>
  </w:style>
  <w:style w:type="character" w:customStyle="1" w:styleId="1500">
    <w:name w:val="3text1"/>
    <w:qFormat/>
    <w:uiPriority w:val="0"/>
    <w:rPr>
      <w:rFonts w:hint="default" w:ascii="ˎ̥" w:hAnsi="ˎ̥" w:eastAsia="宋体" w:cs="Times New Roman"/>
      <w:sz w:val="18"/>
      <w:szCs w:val="18"/>
      <w:u w:val="none"/>
      <w:lang w:val="en-US" w:eastAsia="zh-CN" w:bidi="ar-SA"/>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4"/>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3">
    <w:name w:val="gz 1.1.1."/>
    <w:basedOn w:val="6"/>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5"/>
    <w:qFormat/>
    <w:uiPriority w:val="0"/>
    <w:pPr>
      <w:numPr>
        <w:ilvl w:val="1"/>
        <w:numId w:val="26"/>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7"/>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79"/>
    <w:qFormat/>
    <w:uiPriority w:val="0"/>
    <w:rPr>
      <w:rFonts w:ascii="Times New Roman" w:hAnsi="Times New Roman" w:eastAsia="宋体" w:cs="Times New Roman"/>
      <w:lang w:val="en-US" w:eastAsia="zh-CN" w:bidi="ar-SA"/>
    </w:rPr>
  </w:style>
  <w:style w:type="character" w:customStyle="1" w:styleId="1519">
    <w:name w:val="text1"/>
    <w:qFormat/>
    <w:uiPriority w:val="0"/>
    <w:rPr>
      <w:rFonts w:ascii="Times New Roman" w:hAnsi="Times New Roman" w:eastAsia="宋体" w:cs="Times New Roman"/>
      <w:sz w:val="21"/>
      <w:szCs w:val="21"/>
      <w:lang w:val="en-US" w:eastAsia="zh-CN" w:bidi="ar-SA"/>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hAnsi="Times New Roman" w:eastAsia="仿宋_GB2312" w:cs="宋体"/>
      <w:b/>
      <w:bCs/>
      <w:kern w:val="44"/>
      <w:sz w:val="28"/>
      <w:szCs w:val="44"/>
      <w:lang w:val="en-US" w:eastAsia="zh-CN" w:bidi="ar-SA"/>
    </w:rPr>
  </w:style>
  <w:style w:type="paragraph" w:customStyle="1" w:styleId="1522">
    <w:name w:val="gz 1.1."/>
    <w:basedOn w:val="5"/>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Times New Roman" w:hAnsi="宋体" w:eastAsia="黑体" w:cs="Times New Roman"/>
      <w:kern w:val="2"/>
      <w:sz w:val="21"/>
      <w:lang w:val="en-US" w:eastAsia="zh-CN" w:bidi="ar-SA"/>
    </w:rPr>
  </w:style>
  <w:style w:type="character" w:customStyle="1" w:styleId="1525">
    <w:name w:val="l131"/>
    <w:qFormat/>
    <w:uiPriority w:val="0"/>
    <w:rPr>
      <w:rFonts w:ascii="Times New Roman" w:hAnsi="Times New Roman" w:eastAsia="宋体" w:cs="Times New Roman"/>
      <w:sz w:val="18"/>
      <w:szCs w:val="18"/>
      <w:lang w:val="en-US" w:eastAsia="zh-CN" w:bidi="ar-SA"/>
    </w:rPr>
  </w:style>
  <w:style w:type="paragraph" w:customStyle="1" w:styleId="1526">
    <w:name w:val="正文缩进   技术"/>
    <w:basedOn w:val="23"/>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rFonts w:ascii="Times New Roman" w:hAnsi="Times New Roman" w:eastAsia="宋体" w:cs="Times New Roman"/>
      <w:color w:val="000000"/>
      <w:sz w:val="19"/>
      <w:szCs w:val="19"/>
      <w:u w:val="none"/>
      <w:lang w:val="en-US" w:eastAsia="zh-CN" w:bidi="ar-SA"/>
    </w:rPr>
  </w:style>
  <w:style w:type="paragraph" w:customStyle="1" w:styleId="1539">
    <w:name w:val="标题 0"/>
    <w:basedOn w:val="4"/>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rFonts w:ascii="Times New Roman" w:hAnsi="Times New Roman" w:eastAsia="宋体" w:cs="Times New Roman"/>
      <w:sz w:val="21"/>
      <w:szCs w:val="21"/>
      <w:lang w:val="en-US" w:eastAsia="zh-CN" w:bidi="ar-SA"/>
    </w:rPr>
  </w:style>
  <w:style w:type="paragraph" w:customStyle="1" w:styleId="1541">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6"/>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4"/>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s="Times New Roman"/>
      <w:color w:val="auto"/>
      <w:sz w:val="24"/>
      <w:u w:val="none"/>
      <w:lang w:val="en-US" w:eastAsia="zh-CN" w:bidi="ar-SA"/>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eastAsia="宋体" w:cs="Times New Roman"/>
      <w:szCs w:val="21"/>
      <w:lang w:val="en-US" w:eastAsia="zh-CN" w:bidi="ar-SA"/>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eastAsia="宋体" w:cs="Times New Roman"/>
      <w:sz w:val="28"/>
      <w:szCs w:val="20"/>
      <w:lang w:val="en-US" w:eastAsia="zh-CN" w:bidi="ar-SA"/>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eastAsia="宋体" w:cs="Times New Roman"/>
      <w:sz w:val="24"/>
      <w:szCs w:val="20"/>
      <w:lang w:val="en-US" w:eastAsia="zh-CN" w:bidi="ar-SA"/>
    </w:rPr>
  </w:style>
  <w:style w:type="character" w:customStyle="1" w:styleId="1554">
    <w:name w:val="正文文字 2 Char Char"/>
    <w:qFormat/>
    <w:uiPriority w:val="0"/>
    <w:rPr>
      <w:rFonts w:ascii="Times New Roman" w:hAnsi="Times New Roman" w:eastAsia="宋体" w:cs="Times New Roman"/>
      <w:kern w:val="2"/>
      <w:sz w:val="21"/>
      <w:szCs w:val="24"/>
      <w:lang w:val="en-US" w:eastAsia="zh-CN" w:bidi="ar-SA"/>
    </w:rPr>
  </w:style>
  <w:style w:type="character" w:customStyle="1" w:styleId="1555">
    <w:name w:val="正文文字缩进 3 Char Char"/>
    <w:qFormat/>
    <w:uiPriority w:val="0"/>
    <w:rPr>
      <w:rFonts w:ascii="Times New Roman" w:hAnsi="Times New Roman" w:eastAsia="宋体" w:cs="Times New Roman"/>
      <w:kern w:val="2"/>
      <w:sz w:val="16"/>
      <w:szCs w:val="16"/>
      <w:lang w:val="en-US" w:eastAsia="zh-CN" w:bidi="ar-SA"/>
    </w:rPr>
  </w:style>
  <w:style w:type="character" w:customStyle="1" w:styleId="1556">
    <w:name w:val="正文文字缩进 Char Char"/>
    <w:qFormat/>
    <w:uiPriority w:val="0"/>
    <w:rPr>
      <w:rFonts w:ascii="Times New Roman" w:hAnsi="Times New Roman" w:eastAsia="宋体" w:cs="Times New Roman"/>
      <w:kern w:val="2"/>
      <w:sz w:val="24"/>
      <w:szCs w:val="24"/>
      <w:lang w:val="en-US" w:eastAsia="zh-CN" w:bidi="ar-SA"/>
    </w:rPr>
  </w:style>
  <w:style w:type="character" w:customStyle="1" w:styleId="1557">
    <w:name w:val="正文文字 Char Char"/>
    <w:qFormat/>
    <w:uiPriority w:val="0"/>
    <w:rPr>
      <w:rFonts w:ascii="Times New Roman" w:hAnsi="Times New Roman" w:eastAsia="宋体" w:cs="Times New Roman"/>
      <w:kern w:val="2"/>
      <w:sz w:val="24"/>
      <w:lang w:val="en-US" w:eastAsia="zh-CN" w:bidi="ar-SA"/>
    </w:rPr>
  </w:style>
  <w:style w:type="character" w:customStyle="1" w:styleId="1558">
    <w:name w:val="正文文字缩进 2 Char Char"/>
    <w:qFormat/>
    <w:uiPriority w:val="0"/>
    <w:rPr>
      <w:rFonts w:ascii="宋体" w:hAnsi="Times New Roman" w:eastAsia="宋体" w:cs="Times New Roman"/>
      <w:i/>
      <w:kern w:val="2"/>
      <w:sz w:val="24"/>
      <w:lang w:val="en-US" w:eastAsia="zh-CN" w:bidi="ar-SA"/>
    </w:rPr>
  </w:style>
  <w:style w:type="character" w:customStyle="1" w:styleId="1559">
    <w:name w:val="Char Char18"/>
    <w:qFormat/>
    <w:uiPriority w:val="0"/>
    <w:rPr>
      <w:rFonts w:ascii="宋体" w:hAnsi="Times New Roman" w:eastAsia="仿宋_GB2312" w:cs="Times New Roman"/>
      <w:b/>
      <w:sz w:val="24"/>
      <w:lang w:val="en-US" w:eastAsia="zh-CN" w:bidi="ar-SA"/>
    </w:rPr>
  </w:style>
  <w:style w:type="character" w:customStyle="1" w:styleId="1560">
    <w:name w:val="Char Char19"/>
    <w:qFormat/>
    <w:uiPriority w:val="0"/>
    <w:rPr>
      <w:rFonts w:ascii="Arial" w:hAnsi="Arial" w:eastAsia="黑体" w:cs="Times New Roman"/>
      <w:b/>
      <w:sz w:val="24"/>
      <w:lang w:val="en-US" w:eastAsia="zh-CN" w:bidi="ar-SA"/>
    </w:rPr>
  </w:style>
  <w:style w:type="character" w:customStyle="1" w:styleId="1561">
    <w:name w:val="Char Char21"/>
    <w:qFormat/>
    <w:uiPriority w:val="0"/>
    <w:rPr>
      <w:rFonts w:ascii="Arial" w:hAnsi="Arial" w:eastAsia="宋体" w:cs="Times New Roman"/>
      <w:bCs/>
      <w:kern w:val="2"/>
      <w:sz w:val="21"/>
      <w:szCs w:val="28"/>
      <w:lang w:val="en-US" w:eastAsia="zh-CN" w:bidi="ar-SA"/>
    </w:rPr>
  </w:style>
  <w:style w:type="character" w:customStyle="1" w:styleId="1562">
    <w:name w:val="Char Char20"/>
    <w:qFormat/>
    <w:uiPriority w:val="0"/>
    <w:rPr>
      <w:rFonts w:ascii="Times New Roman" w:hAnsi="Times New Roman" w:eastAsia="宋体" w:cs="Times New Roman"/>
      <w:b/>
      <w:sz w:val="28"/>
      <w:lang w:val="en-US" w:eastAsia="zh-CN" w:bidi="ar-SA"/>
    </w:rPr>
  </w:style>
  <w:style w:type="paragraph" w:customStyle="1" w:styleId="1563">
    <w:name w:val="ZK_标题1"/>
    <w:basedOn w:val="1"/>
    <w:next w:val="1354"/>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cs="Times New Roman"/>
      <w:b/>
      <w:sz w:val="30"/>
      <w:szCs w:val="20"/>
      <w:lang w:val="en-US" w:eastAsia="zh-CN" w:bidi="ar-SA"/>
    </w:rPr>
  </w:style>
  <w:style w:type="paragraph" w:customStyle="1" w:styleId="1567">
    <w:name w:val="ZK_标题2"/>
    <w:basedOn w:val="1"/>
    <w:next w:val="1354"/>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hAnsi="Times New Roman" w:eastAsia="仿宋_GB2312" w:cs="Times New Roman"/>
      <w:b/>
      <w:sz w:val="24"/>
      <w:lang w:val="en-US" w:eastAsia="zh-CN" w:bidi="ar-SA"/>
    </w:rPr>
  </w:style>
  <w:style w:type="character" w:customStyle="1" w:styleId="1569">
    <w:name w:val="Char Char13"/>
    <w:semiHidden/>
    <w:qFormat/>
    <w:uiPriority w:val="0"/>
    <w:rPr>
      <w:rFonts w:ascii="Times New Roman" w:hAnsi="Times New Roman" w:eastAsia="宋体" w:cs="Times New Roman"/>
      <w:kern w:val="2"/>
      <w:sz w:val="18"/>
      <w:szCs w:val="18"/>
      <w:lang w:val="en-US" w:eastAsia="zh-CN" w:bidi="ar-SA"/>
    </w:rPr>
  </w:style>
  <w:style w:type="character" w:customStyle="1" w:styleId="1570">
    <w:name w:val="Char Char7"/>
    <w:qFormat/>
    <w:uiPriority w:val="0"/>
    <w:rPr>
      <w:rFonts w:ascii="Times New Roman" w:hAnsi="Times New Roman" w:eastAsia="宋体" w:cs="Times New Roman"/>
      <w:kern w:val="2"/>
      <w:sz w:val="24"/>
      <w:lang w:val="en-US" w:eastAsia="zh-CN" w:bidi="ar-SA"/>
    </w:rPr>
  </w:style>
  <w:style w:type="character" w:customStyle="1" w:styleId="1571">
    <w:name w:val="1page sec3 Char Char"/>
    <w:qFormat/>
    <w:uiPriority w:val="0"/>
    <w:rPr>
      <w:rFonts w:ascii="Times New Roman" w:hAnsi="Times New Roman" w:eastAsia="宋体" w:cs="Times New Roman"/>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cs="Times New Roman"/>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eastAsia="宋体" w:cs="Times New Roman"/>
      <w:color w:val="000000"/>
      <w:kern w:val="0"/>
      <w:sz w:val="28"/>
      <w:szCs w:val="28"/>
      <w:lang w:val="en-US" w:eastAsia="zh-CN" w:bidi="ar-SA"/>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79"/>
    <w:link w:val="1589"/>
    <w:qFormat/>
    <w:uiPriority w:val="29"/>
    <w:rPr>
      <w:rFonts w:ascii="Times New Roman" w:hAnsi="Times New Roman" w:eastAsia="宋体" w:cs="Times New Roman"/>
      <w:i/>
      <w:iCs/>
      <w:color w:val="000000"/>
      <w:szCs w:val="24"/>
      <w:lang w:val="en-US" w:eastAsia="zh-CN" w:bidi="ar-SA"/>
    </w:rPr>
  </w:style>
  <w:style w:type="paragraph" w:customStyle="1" w:styleId="1591">
    <w:name w:val="样式 标题 3正文 + 标题 3第二层条第三层论文标题 21.1.1 标题 3 + 宋体五号居中段前: 0 磅..."/>
    <w:basedOn w:val="6"/>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lang w:val="en-US" w:eastAsia="zh-CN" w:bidi="ar-SA"/>
    </w:rPr>
  </w:style>
  <w:style w:type="character" w:customStyle="1" w:styleId="1593">
    <w:name w:val="font41"/>
    <w:qFormat/>
    <w:uiPriority w:val="0"/>
    <w:rPr>
      <w:rFonts w:hint="eastAsia" w:ascii="宋体" w:hAnsi="宋体" w:eastAsia="宋体" w:cs="宋体"/>
      <w:b/>
      <w:color w:val="000000"/>
      <w:sz w:val="20"/>
      <w:szCs w:val="20"/>
      <w:u w:val="none"/>
      <w:lang w:val="en-US" w:eastAsia="zh-CN" w:bidi="ar-SA"/>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cs="Times New Roman"/>
      <w:kern w:val="2"/>
      <w:lang w:val="en-US" w:eastAsia="zh-CN" w:bidi="ar-SA"/>
    </w:rPr>
  </w:style>
  <w:style w:type="character" w:customStyle="1" w:styleId="1605">
    <w:name w:val="段 Char"/>
    <w:link w:val="446"/>
    <w:qFormat/>
    <w:uiPriority w:val="0"/>
    <w:rPr>
      <w:rFonts w:ascii="宋体" w:hAnsi="Times New Roman" w:eastAsia="宋体" w:cs="Times New Roman"/>
      <w:sz w:val="21"/>
      <w:lang w:val="en-US" w:eastAsia="zh-CN" w:bidi="ar-SA"/>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4"/>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4"/>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ascii="Times New Roman" w:hAnsi="Times New Roman" w:eastAsia="宋体" w:cs="Times New Roman"/>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val="en-US" w:eastAsia="en-US" w:bidi="ar-SA"/>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55">
    <w:name w:val="网格型21"/>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56">
    <w:name w:val="表格主题1"/>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57">
    <w:name w:val="sh141"/>
    <w:semiHidden/>
    <w:qFormat/>
    <w:uiPriority w:val="0"/>
    <w:rPr>
      <w:rFonts w:ascii="Tahoma" w:hAnsi="Tahoma" w:eastAsia="宋体" w:cs="Times New Roman"/>
      <w:color w:val="2B2B2B"/>
      <w:kern w:val="2"/>
      <w:sz w:val="21"/>
      <w:szCs w:val="21"/>
      <w:lang w:val="en-US" w:eastAsia="zh-CN" w:bidi="ar-SA"/>
    </w:rPr>
  </w:style>
  <w:style w:type="paragraph" w:customStyle="1" w:styleId="1658">
    <w:name w:val="2级标题"/>
    <w:basedOn w:val="5"/>
    <w:next w:val="4"/>
    <w:link w:val="1659"/>
    <w:semiHidden/>
    <w:qFormat/>
    <w:uiPriority w:val="0"/>
    <w:pPr>
      <w:numPr>
        <w:ilvl w:val="0"/>
        <w:numId w:val="30"/>
      </w:numPr>
    </w:pPr>
    <w:rPr>
      <w:rFonts w:ascii="宋体"/>
      <w:bCs w:val="0"/>
      <w:szCs w:val="24"/>
    </w:rPr>
  </w:style>
  <w:style w:type="character" w:customStyle="1" w:styleId="1659">
    <w:name w:val="2级标题 Char"/>
    <w:link w:val="1658"/>
    <w:semiHidden/>
    <w:qFormat/>
    <w:uiPriority w:val="0"/>
    <w:rPr>
      <w:rFonts w:ascii="宋体" w:hAnsi="Times New Roman" w:eastAsia="宋体" w:cs="Times New Roman"/>
      <w:szCs w:val="24"/>
      <w:lang w:val="en-US" w:eastAsia="zh-CN" w:bidi="ar-SA"/>
    </w:rPr>
  </w:style>
  <w:style w:type="character" w:customStyle="1" w:styleId="1660">
    <w:name w:val="自定正文 Char"/>
    <w:link w:val="1661"/>
    <w:semiHidden/>
    <w:qFormat/>
    <w:uiPriority w:val="0"/>
    <w:rPr>
      <w:rFonts w:ascii="Times New Roman" w:hAnsi="Times New Roman" w:eastAsia="宋体" w:cs="Times New Roman"/>
      <w:kern w:val="0"/>
      <w:sz w:val="24"/>
      <w:szCs w:val="24"/>
      <w:lang w:val="en-US" w:eastAsia="zh-CN" w:bidi="ar-SA"/>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8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4">
    <w:name w:val="网格型31"/>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5">
    <w:name w:val="表格主题2"/>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6">
    <w:name w:val="网格型12"/>
    <w:basedOn w:val="8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2">
    <w:name w:val="表格主题3"/>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3">
    <w:name w:val="网格型13"/>
    <w:basedOn w:val="8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4">
    <w:name w:val="Char Char110"/>
    <w:link w:val="1672"/>
    <w:semiHidden/>
    <w:qFormat/>
    <w:uiPriority w:val="0"/>
    <w:rPr>
      <w:rFonts w:ascii="宋体" w:hAnsi="宋体" w:eastAsia="宋体" w:cs="Times New Roman"/>
      <w:b/>
      <w:szCs w:val="21"/>
      <w:lang w:val="en-US" w:eastAsia="zh-CN" w:bidi="ar-SA"/>
    </w:rPr>
  </w:style>
  <w:style w:type="character" w:customStyle="1" w:styleId="1695">
    <w:name w:val="批注主题 Char Char Char"/>
    <w:qFormat/>
    <w:uiPriority w:val="0"/>
    <w:rPr>
      <w:rFonts w:ascii="Times New Roman" w:hAnsi="Times New Roman" w:eastAsia="宋体" w:cs="Times New Roman"/>
      <w:b/>
      <w:bCs/>
      <w:kern w:val="2"/>
      <w:sz w:val="21"/>
      <w:szCs w:val="24"/>
      <w:lang w:val="en-US" w:eastAsia="zh-CN" w:bidi="ar-SA"/>
    </w:rPr>
  </w:style>
  <w:style w:type="character" w:customStyle="1" w:styleId="1696">
    <w:name w:val="批注文字 Char Char Char"/>
    <w:qFormat/>
    <w:uiPriority w:val="0"/>
    <w:rPr>
      <w:rFonts w:ascii="Times New Roman" w:hAnsi="Times New Roman" w:eastAsia="宋体" w:cs="Times New Roman"/>
      <w:kern w:val="2"/>
      <w:sz w:val="21"/>
      <w:szCs w:val="24"/>
      <w:lang w:val="en-US" w:eastAsia="zh-CN" w:bidi="ar-SA"/>
    </w:rPr>
  </w:style>
  <w:style w:type="character" w:customStyle="1" w:styleId="1697">
    <w:name w:val="日期 Char Char Char"/>
    <w:qFormat/>
    <w:uiPriority w:val="0"/>
    <w:rPr>
      <w:rFonts w:ascii="Times New Roman" w:hAnsi="Times New Roman" w:eastAsia="宋体" w:cs="Times New Roman"/>
      <w:kern w:val="2"/>
      <w:sz w:val="21"/>
      <w:lang w:val="en-US" w:eastAsia="zh-CN" w:bidi="ar-SA"/>
    </w:rPr>
  </w:style>
  <w:style w:type="character" w:customStyle="1" w:styleId="1698">
    <w:name w:val="图表左对齐 Char Char"/>
    <w:qFormat/>
    <w:locked/>
    <w:uiPriority w:val="0"/>
    <w:rPr>
      <w:rFonts w:ascii="宋体" w:hAnsi="宋体" w:eastAsia="宋体" w:cs="Times New Roman"/>
      <w:spacing w:val="-10"/>
      <w:kern w:val="2"/>
      <w:sz w:val="24"/>
      <w:szCs w:val="28"/>
      <w:lang w:val="en-US" w:eastAsia="zh-CN" w:bidi="ar-SA"/>
    </w:rPr>
  </w:style>
  <w:style w:type="character" w:customStyle="1" w:styleId="1699">
    <w:name w:val="样式 宋体 行距: 固定值 24 磅 Char Char"/>
    <w:qFormat/>
    <w:locked/>
    <w:uiPriority w:val="0"/>
    <w:rPr>
      <w:rFonts w:ascii="宋体" w:hAnsi="Times New Roman" w:eastAsia="宋体" w:cs="宋体"/>
      <w:kern w:val="2"/>
      <w:sz w:val="28"/>
      <w:lang w:val="en-US" w:eastAsia="zh-CN" w:bidi="ar-SA"/>
    </w:rPr>
  </w:style>
  <w:style w:type="character" w:customStyle="1" w:styleId="1700">
    <w:name w:val="标题三 Char Char"/>
    <w:qFormat/>
    <w:uiPriority w:val="0"/>
    <w:rPr>
      <w:rFonts w:ascii="Times New Roman" w:hAnsi="Times New Roman" w:eastAsia="宋体" w:cs="Times New Roman"/>
      <w:b/>
      <w:bCs/>
      <w:kern w:val="2"/>
      <w:sz w:val="32"/>
      <w:szCs w:val="32"/>
      <w:lang w:val="en-US" w:eastAsia="zh-CN" w:bidi="ar-SA"/>
    </w:rPr>
  </w:style>
  <w:style w:type="character" w:customStyle="1" w:styleId="1701">
    <w:name w:val="正文文本缩进 3 Char Char Char"/>
    <w:qFormat/>
    <w:uiPriority w:val="0"/>
    <w:rPr>
      <w:rFonts w:ascii="Times New Roman" w:hAnsi="Times New Roman" w:eastAsia="宋体" w:cs="Times New Roman"/>
      <w:kern w:val="2"/>
      <w:sz w:val="16"/>
      <w:szCs w:val="16"/>
      <w:lang w:val="en-US" w:eastAsia="zh-CN" w:bidi="ar-SA"/>
    </w:rPr>
  </w:style>
  <w:style w:type="character" w:customStyle="1" w:styleId="1702">
    <w:name w:val="Char Char161"/>
    <w:semiHidden/>
    <w:qFormat/>
    <w:uiPriority w:val="0"/>
    <w:rPr>
      <w:rFonts w:ascii="Times New Roman" w:hAnsi="Times New Roman" w:eastAsia="宋体" w:cs="Times New Roman"/>
      <w:kern w:val="2"/>
      <w:sz w:val="18"/>
      <w:szCs w:val="18"/>
      <w:lang w:val="en-US" w:eastAsia="zh-CN" w:bidi="ar-SA"/>
    </w:rPr>
  </w:style>
  <w:style w:type="character" w:customStyle="1" w:styleId="1703">
    <w:name w:val="正文文本 2 Char Char Char"/>
    <w:qFormat/>
    <w:uiPriority w:val="0"/>
    <w:rPr>
      <w:rFonts w:ascii="Times New Roman" w:hAnsi="Times New Roman" w:eastAsia="宋体" w:cs="Times New Roman"/>
      <w:kern w:val="2"/>
      <w:sz w:val="21"/>
      <w:szCs w:val="24"/>
      <w:lang w:val="en-US" w:eastAsia="zh-CN" w:bidi="ar-SA"/>
    </w:rPr>
  </w:style>
  <w:style w:type="character" w:customStyle="1" w:styleId="1704">
    <w:name w:val="样式 标题 3Heading 3 Char1Heading 3 Char Char列表编号33 bullet2ERM... Char Char"/>
    <w:qFormat/>
    <w:uiPriority w:val="0"/>
    <w:rPr>
      <w:rFonts w:ascii="Times New Roman" w:hAnsi="Times New Roman" w:eastAsia="宋体" w:cs="宋体"/>
      <w:b/>
      <w:bCs/>
      <w:kern w:val="2"/>
      <w:sz w:val="21"/>
      <w:lang w:val="en-US" w:eastAsia="zh-CN" w:bidi="ar-SA"/>
    </w:rPr>
  </w:style>
  <w:style w:type="character" w:customStyle="1" w:styleId="1705">
    <w:name w:val="文档结构图 Char Char Char"/>
    <w:qFormat/>
    <w:uiPriority w:val="0"/>
    <w:rPr>
      <w:rFonts w:ascii="Times New Roman" w:hAnsi="Times New Roman" w:eastAsia="宋体" w:cs="Times New Roman"/>
      <w:kern w:val="2"/>
      <w:sz w:val="21"/>
      <w:szCs w:val="24"/>
      <w:shd w:val="clear" w:color="auto" w:fill="000080"/>
      <w:lang w:val="en-US" w:eastAsia="zh-CN" w:bidi="ar-SA"/>
    </w:rPr>
  </w:style>
  <w:style w:type="character" w:customStyle="1" w:styleId="1706">
    <w:name w:val="正文文本缩进 2 Char Char Char"/>
    <w:qFormat/>
    <w:uiPriority w:val="0"/>
    <w:rPr>
      <w:rFonts w:ascii="宋体" w:hAnsi="Times New Roman" w:eastAsia="宋体" w:cs="Times New Roman"/>
      <w:i/>
      <w:kern w:val="2"/>
      <w:sz w:val="24"/>
      <w:lang w:val="en-US" w:eastAsia="zh-CN" w:bidi="ar-SA"/>
    </w:rPr>
  </w:style>
  <w:style w:type="character" w:customStyle="1" w:styleId="1707">
    <w:name w:val="标题 2 Char1"/>
    <w:semiHidden/>
    <w:qFormat/>
    <w:uiPriority w:val="0"/>
    <w:rPr>
      <w:rFonts w:ascii="Arial" w:hAnsi="Arial" w:eastAsia="黑体" w:cs="Times New Roman"/>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rFonts w:ascii="Times New Roman" w:hAnsi="Times New Roman" w:eastAsia="宋体" w:cs="Times New Roman"/>
      <w:sz w:val="21"/>
      <w:szCs w:val="24"/>
      <w:lang w:val="en-US" w:eastAsia="zh-CN" w:bidi="ar-SA"/>
    </w:rPr>
  </w:style>
  <w:style w:type="character" w:customStyle="1" w:styleId="1710">
    <w:name w:val="页脚 Char Char Char"/>
    <w:qFormat/>
    <w:uiPriority w:val="0"/>
    <w:rPr>
      <w:rFonts w:ascii="Times New Roman" w:hAnsi="Times New Roman" w:eastAsia="宋体" w:cs="Times New Roman"/>
      <w:kern w:val="2"/>
      <w:sz w:val="18"/>
      <w:szCs w:val="18"/>
      <w:lang w:val="en-US" w:eastAsia="zh-CN" w:bidi="ar-SA"/>
    </w:rPr>
  </w:style>
  <w:style w:type="character" w:customStyle="1" w:styleId="1711">
    <w:name w:val="标题3 Char Char"/>
    <w:qFormat/>
    <w:locked/>
    <w:uiPriority w:val="0"/>
    <w:rPr>
      <w:rFonts w:ascii="Times New Roman" w:hAnsi="Times New Roman" w:eastAsia="宋体" w:cs="Times New Roman"/>
      <w:b/>
      <w:bCs/>
      <w:kern w:val="44"/>
      <w:sz w:val="24"/>
      <w:szCs w:val="44"/>
      <w:lang w:val="en-US" w:eastAsia="zh-CN" w:bidi="ar-SA"/>
    </w:rPr>
  </w:style>
  <w:style w:type="character" w:customStyle="1" w:styleId="1712">
    <w:name w:val="正文文本 3 Char Char Char"/>
    <w:qFormat/>
    <w:uiPriority w:val="0"/>
    <w:rPr>
      <w:rFonts w:ascii="Times New Roman" w:hAnsi="Times New Roman" w:eastAsia="宋体" w:cs="Times New Roman"/>
      <w:color w:val="FF0000"/>
      <w:kern w:val="2"/>
      <w:sz w:val="22"/>
      <w:lang w:val="en-US" w:eastAsia="zh-CN" w:bidi="ar-SA"/>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ascii="Times New Roman" w:hAnsi="Times New Roman" w:eastAsia="宋体" w:cs="Times New Roman"/>
      <w:b/>
      <w:bCs/>
      <w:kern w:val="44"/>
      <w:sz w:val="44"/>
      <w:szCs w:val="44"/>
      <w:lang w:val="en-US" w:eastAsia="zh-CN" w:bidi="ar-SA"/>
    </w:rPr>
  </w:style>
  <w:style w:type="character" w:customStyle="1" w:styleId="1715">
    <w:name w:val="批注框文本 Char Char Char"/>
    <w:qFormat/>
    <w:uiPriority w:val="0"/>
    <w:rPr>
      <w:rFonts w:ascii="Times New Roman" w:hAnsi="Times New Roman" w:eastAsia="宋体" w:cs="Times New Roman"/>
      <w:kern w:val="2"/>
      <w:sz w:val="18"/>
      <w:szCs w:val="18"/>
      <w:lang w:val="en-US" w:eastAsia="zh-CN" w:bidi="ar-SA"/>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rFonts w:ascii="Times New Roman" w:hAnsi="Times New Roman" w:eastAsia="宋体" w:cs="Times New Roman"/>
      <w:kern w:val="2"/>
      <w:sz w:val="21"/>
      <w:lang w:val="en-US" w:eastAsia="zh-CN" w:bidi="ar-SA"/>
    </w:rPr>
  </w:style>
  <w:style w:type="character" w:customStyle="1" w:styleId="1718">
    <w:name w:val="标题 Char2"/>
    <w:semiHidden/>
    <w:qFormat/>
    <w:uiPriority w:val="0"/>
    <w:rPr>
      <w:rFonts w:ascii="黑体" w:hAnsi="Arial" w:eastAsia="黑体" w:cs="Arial"/>
      <w:bCs/>
      <w:kern w:val="2"/>
      <w:sz w:val="32"/>
      <w:szCs w:val="32"/>
      <w:lang w:val="en-US" w:eastAsia="zh-CN" w:bidi="ar-SA"/>
    </w:rPr>
  </w:style>
  <w:style w:type="character" w:customStyle="1" w:styleId="1719">
    <w:name w:val="wang正文 Char Char"/>
    <w:qFormat/>
    <w:uiPriority w:val="0"/>
    <w:rPr>
      <w:rFonts w:ascii="宋体" w:hAnsi="Times New Roman" w:eastAsia="宋体" w:cs="Times New Roman"/>
      <w:sz w:val="24"/>
      <w:lang w:val="en-US" w:eastAsia="zh-CN" w:bidi="ar-SA"/>
    </w:rPr>
  </w:style>
  <w:style w:type="character" w:customStyle="1" w:styleId="1720">
    <w:name w:val="正文 BJ8 Char Char"/>
    <w:link w:val="1721"/>
    <w:semiHidden/>
    <w:qFormat/>
    <w:uiPriority w:val="0"/>
    <w:rPr>
      <w:rFonts w:ascii="Times New Roman" w:hAnsi="Times New Roman" w:eastAsia="宋体" w:cs="宋体"/>
      <w:kern w:val="0"/>
      <w:sz w:val="24"/>
      <w:szCs w:val="24"/>
      <w:lang w:val="en-US" w:eastAsia="zh-CN" w:bidi="ar-SA"/>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1"/>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23"/>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23"/>
    <w:qFormat/>
    <w:uiPriority w:val="0"/>
    <w:pPr>
      <w:ind w:firstLine="420"/>
    </w:pPr>
    <w:rPr>
      <w:rFonts w:ascii="Times New Roman" w:hAnsi="Times New Roman"/>
      <w:szCs w:val="20"/>
    </w:rPr>
  </w:style>
  <w:style w:type="paragraph" w:customStyle="1" w:styleId="1738">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1"/>
    <w:semiHidden/>
    <w:qFormat/>
    <w:uiPriority w:val="0"/>
    <w:rPr>
      <w:rFonts w:ascii="宋体" w:hAnsi="Courier New"/>
      <w:szCs w:val="20"/>
    </w:rPr>
  </w:style>
  <w:style w:type="table" w:customStyle="1" w:styleId="1740">
    <w:name w:val="网格型5"/>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1">
    <w:name w:val="典雅型1"/>
    <w:basedOn w:val="8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742">
    <w:name w:val="网格型211"/>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3">
    <w:name w:val="网格型14"/>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ascii="Times New Roman" w:hAnsi="Times New Roman"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9">
    <w:name w:val="典雅型2"/>
    <w:basedOn w:val="8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51">
    <w:name w:val="网格型7"/>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2">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33"/>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sz w:val="21"/>
      <w:szCs w:val="21"/>
    </w:rPr>
  </w:style>
  <w:style w:type="paragraph" w:customStyle="1" w:styleId="1759">
    <w:name w:val="郑文"/>
    <w:basedOn w:val="23"/>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79"/>
    <w:link w:val="1708"/>
    <w:qFormat/>
    <w:uiPriority w:val="0"/>
    <w:rPr>
      <w:rFonts w:ascii="Times New Roman" w:hAnsi="Times New Roman" w:eastAsia="宋体" w:cs="Times New Roman"/>
      <w:b/>
      <w:szCs w:val="21"/>
      <w:lang w:val="en-US" w:eastAsia="zh-CN" w:bidi="ar-SA"/>
    </w:rPr>
  </w:style>
  <w:style w:type="character" w:customStyle="1" w:styleId="1761">
    <w:name w:val="郑文 字符"/>
    <w:basedOn w:val="758"/>
    <w:link w:val="1759"/>
    <w:qFormat/>
    <w:uiPriority w:val="0"/>
    <w:rPr>
      <w:rFonts w:ascii="Times New Roman" w:hAnsi="Times New Roman"/>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79"/>
    <w:link w:val="1762"/>
    <w:qFormat/>
    <w:uiPriority w:val="0"/>
    <w:rPr>
      <w:rFonts w:ascii="Times New Roman" w:hAnsi="Times New Roman" w:eastAsia="宋体" w:cs="Times New Roman"/>
      <w:szCs w:val="21"/>
      <w:lang w:val="en-US" w:eastAsia="zh-CN" w:bidi="ar-SA"/>
    </w:rPr>
  </w:style>
  <w:style w:type="character" w:customStyle="1" w:styleId="1765">
    <w:name w:val="强调标题 字符"/>
    <w:basedOn w:val="79"/>
    <w:link w:val="1763"/>
    <w:qFormat/>
    <w:uiPriority w:val="0"/>
    <w:rPr>
      <w:rFonts w:ascii="Times New Roman" w:hAnsi="宋体" w:eastAsia="宋体" w:cs="Times New Roman"/>
      <w:b/>
      <w:color w:val="000000"/>
      <w:szCs w:val="20"/>
      <w:lang w:val="en-US" w:eastAsia="zh-CN" w:bidi="ar-SA"/>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cs="Times New Roman"/>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79"/>
    <w:link w:val="19"/>
    <w:semiHidden/>
    <w:qFormat/>
    <w:uiPriority w:val="99"/>
    <w:rPr>
      <w:rFonts w:ascii="Courier New" w:hAnsi="Courier New" w:eastAsia="宋体" w:cs="Courier New"/>
      <w:kern w:val="2"/>
      <w:sz w:val="24"/>
      <w:szCs w:val="24"/>
      <w:lang w:val="en-US" w:eastAsia="zh-CN" w:bidi="ar-SA"/>
    </w:rPr>
  </w:style>
  <w:style w:type="character" w:customStyle="1" w:styleId="1771">
    <w:name w:val="签名 字符1"/>
    <w:basedOn w:val="79"/>
    <w:link w:val="53"/>
    <w:semiHidden/>
    <w:qFormat/>
    <w:uiPriority w:val="99"/>
    <w:rPr>
      <w:rFonts w:ascii="Times New Roman" w:hAnsi="Times New Roman" w:eastAsia="宋体" w:cs="Times New Roman"/>
      <w:lang w:val="en-US" w:eastAsia="zh-CN" w:bidi="ar-SA"/>
    </w:rPr>
  </w:style>
  <w:style w:type="table" w:customStyle="1" w:styleId="1772">
    <w:name w:val="网格型22"/>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3">
    <w:name w:val="网格型32"/>
    <w:basedOn w:val="8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4">
    <w:name w:val="网格型212"/>
    <w:basedOn w:val="89"/>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eastAsia="宋体" w:cs="Times New Roman"/>
      <w:b/>
      <w:bCs/>
      <w:lang w:val="en-US" w:eastAsia="zh-CN" w:bidi="ar-SA"/>
    </w:rPr>
  </w:style>
  <w:style w:type="character" w:customStyle="1" w:styleId="1778">
    <w:name w:val="标题 Char_0"/>
    <w:qFormat/>
    <w:uiPriority w:val="0"/>
    <w:rPr>
      <w:rFonts w:ascii="Cambria" w:hAnsi="Cambria" w:eastAsia="宋体" w:cs="Times New Roman"/>
      <w:b/>
      <w:bCs/>
      <w:kern w:val="2"/>
      <w:sz w:val="32"/>
      <w:szCs w:val="32"/>
      <w:lang w:val="en-US" w:eastAsia="zh-CN" w:bidi="ar-SA"/>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ascii="Times New Roman" w:hAnsi="Times New Roman" w:eastAsia="宋体" w:cs="Times New Roman"/>
      <w:kern w:val="2"/>
      <w:sz w:val="18"/>
      <w:szCs w:val="18"/>
      <w:lang w:val="en-US" w:eastAsia="zh-CN" w:bidi="ar-SA"/>
    </w:rPr>
  </w:style>
  <w:style w:type="character" w:customStyle="1" w:styleId="1781">
    <w:name w:val="Char Char111"/>
    <w:link w:val="1782"/>
    <w:qFormat/>
    <w:uiPriority w:val="0"/>
    <w:rPr>
      <w:rFonts w:ascii="Tahoma" w:hAnsi="Tahoma" w:eastAsia="宋体" w:cs="仿宋_GB2312"/>
      <w:sz w:val="24"/>
      <w:szCs w:val="20"/>
      <w:lang w:val="en-US" w:eastAsia="zh-CN" w:bidi="ar-SA"/>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eastAsia="宋体" w:cs="Times New Roman"/>
      <w:sz w:val="24"/>
      <w:lang w:val="en-US" w:eastAsia="zh-CN" w:bidi="ar-SA"/>
    </w:rPr>
  </w:style>
  <w:style w:type="character" w:customStyle="1" w:styleId="1784">
    <w:name w:val="Char Char52"/>
    <w:qFormat/>
    <w:uiPriority w:val="0"/>
    <w:rPr>
      <w:rFonts w:ascii="Times New Roman" w:hAnsi="Times New Roman" w:eastAsia="宋体" w:cs="Times New Roman"/>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cs="Times New Roman"/>
      <w:b/>
      <w:bCs/>
      <w:kern w:val="2"/>
      <w:sz w:val="32"/>
      <w:szCs w:val="32"/>
      <w:lang w:val="en-US" w:eastAsia="zh-CN" w:bidi="ar-SA"/>
    </w:rPr>
  </w:style>
  <w:style w:type="character" w:customStyle="1" w:styleId="1803">
    <w:name w:val="正文缩进 字符"/>
    <w:qFormat/>
    <w:uiPriority w:val="0"/>
    <w:rPr>
      <w:rFonts w:ascii="Times New Roman" w:hAnsi="Times New Roman" w:eastAsia="宋体" w:cs="Times New Roman"/>
      <w:kern w:val="2"/>
      <w:sz w:val="21"/>
      <w:szCs w:val="24"/>
      <w:lang w:val="en-US" w:eastAsia="zh-CN" w:bidi="ar-SA"/>
    </w:rPr>
  </w:style>
  <w:style w:type="character" w:customStyle="1" w:styleId="1804">
    <w:name w:val="标题 8 字符"/>
    <w:qFormat/>
    <w:uiPriority w:val="0"/>
    <w:rPr>
      <w:rFonts w:ascii="Arial" w:hAnsi="Arial" w:eastAsia="黑体" w:cs="Times New Roman"/>
      <w:sz w:val="24"/>
      <w:lang w:val="en-US" w:eastAsia="zh-CN" w:bidi="ar-SA"/>
    </w:rPr>
  </w:style>
  <w:style w:type="character" w:customStyle="1" w:styleId="1805">
    <w:name w:val="正文文本缩进 字符"/>
    <w:qFormat/>
    <w:uiPriority w:val="0"/>
    <w:rPr>
      <w:rFonts w:ascii="Times New Roman" w:hAnsi="Times New Roman" w:eastAsia="宋体" w:cs="Times New Roman"/>
      <w:kern w:val="2"/>
      <w:sz w:val="24"/>
      <w:szCs w:val="24"/>
      <w:lang w:val="en-US" w:eastAsia="zh-CN" w:bidi="ar-SA"/>
    </w:rPr>
  </w:style>
  <w:style w:type="character" w:customStyle="1" w:styleId="1806">
    <w:name w:val="Char Char163"/>
    <w:qFormat/>
    <w:uiPriority w:val="0"/>
    <w:rPr>
      <w:rFonts w:ascii="Times New Roman" w:hAnsi="Times New Roman" w:eastAsia="宋体" w:cs="Times New Roman"/>
      <w:kern w:val="2"/>
      <w:sz w:val="18"/>
      <w:szCs w:val="18"/>
      <w:lang w:val="en-US" w:eastAsia="zh-CN" w:bidi="ar-SA"/>
    </w:rPr>
  </w:style>
  <w:style w:type="character" w:customStyle="1" w:styleId="1807">
    <w:name w:val="文档结构图 字符"/>
    <w:qFormat/>
    <w:uiPriority w:val="0"/>
    <w:rPr>
      <w:rFonts w:ascii="Times New Roman" w:hAnsi="Times New Roman" w:eastAsia="宋体" w:cs="Times New Roman"/>
      <w:kern w:val="2"/>
      <w:sz w:val="21"/>
      <w:szCs w:val="24"/>
      <w:shd w:val="clear" w:color="auto" w:fill="000080"/>
      <w:lang w:val="en-US" w:eastAsia="zh-CN" w:bidi="ar-SA"/>
    </w:rPr>
  </w:style>
  <w:style w:type="character" w:customStyle="1" w:styleId="1808">
    <w:name w:val="Char Char112"/>
    <w:link w:val="1809"/>
    <w:qFormat/>
    <w:uiPriority w:val="0"/>
    <w:rPr>
      <w:rFonts w:ascii="Tahoma" w:hAnsi="Tahoma" w:eastAsia="宋体" w:cs="仿宋_GB2312"/>
      <w:sz w:val="24"/>
      <w:szCs w:val="20"/>
      <w:lang w:val="en-US" w:eastAsia="zh-CN" w:bidi="ar-SA"/>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rFonts w:ascii="Times New Roman" w:hAnsi="Times New Roman" w:eastAsia="宋体" w:cs="Times New Roman"/>
      <w:kern w:val="2"/>
      <w:sz w:val="16"/>
      <w:szCs w:val="16"/>
      <w:lang w:val="en-US" w:eastAsia="zh-CN" w:bidi="ar-SA"/>
    </w:rPr>
  </w:style>
  <w:style w:type="character" w:customStyle="1" w:styleId="1811">
    <w:name w:val="正文文本 3 字符"/>
    <w:qFormat/>
    <w:uiPriority w:val="0"/>
    <w:rPr>
      <w:rFonts w:ascii="Times New Roman" w:hAnsi="Times New Roman" w:eastAsia="宋体" w:cs="Times New Roman"/>
      <w:color w:val="FF0000"/>
      <w:kern w:val="2"/>
      <w:sz w:val="22"/>
      <w:lang w:val="en-US" w:eastAsia="zh-CN" w:bidi="ar-SA"/>
    </w:rPr>
  </w:style>
  <w:style w:type="character" w:customStyle="1" w:styleId="1812">
    <w:name w:val="标题 字符"/>
    <w:qFormat/>
    <w:uiPriority w:val="0"/>
    <w:rPr>
      <w:rFonts w:ascii="黑体" w:hAnsi="Arial" w:eastAsia="黑体" w:cs="Arial"/>
      <w:bCs/>
      <w:kern w:val="2"/>
      <w:sz w:val="32"/>
      <w:szCs w:val="32"/>
      <w:lang w:val="en-US" w:eastAsia="zh-CN" w:bidi="ar-SA"/>
    </w:rPr>
  </w:style>
  <w:style w:type="character" w:customStyle="1" w:styleId="1813">
    <w:name w:val="批注文字 字符"/>
    <w:qFormat/>
    <w:locked/>
    <w:uiPriority w:val="0"/>
    <w:rPr>
      <w:rFonts w:ascii="Times New Roman" w:hAnsi="Times New Roman" w:eastAsia="宋体" w:cs="Times New Roman"/>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cs="Times New Roman"/>
      <w:sz w:val="28"/>
      <w:lang w:val="en-US" w:eastAsia="zh-CN" w:bidi="ar-SA"/>
    </w:rPr>
  </w:style>
  <w:style w:type="character" w:customStyle="1" w:styleId="1816">
    <w:name w:val="正文文本 2 字符"/>
    <w:qFormat/>
    <w:uiPriority w:val="0"/>
    <w:rPr>
      <w:rFonts w:ascii="Times New Roman" w:hAnsi="Times New Roman" w:eastAsia="宋体" w:cs="Times New Roman"/>
      <w:kern w:val="2"/>
      <w:sz w:val="21"/>
      <w:szCs w:val="24"/>
      <w:lang w:val="en-US" w:eastAsia="zh-CN" w:bidi="ar-SA"/>
    </w:rPr>
  </w:style>
  <w:style w:type="character" w:customStyle="1" w:styleId="1817">
    <w:name w:val="标题 3 字符"/>
    <w:qFormat/>
    <w:uiPriority w:val="0"/>
    <w:rPr>
      <w:rFonts w:ascii="Times New Roman" w:hAnsi="Times New Roman" w:eastAsia="宋体" w:cs="Times New Roman"/>
      <w:bCs/>
      <w:kern w:val="2"/>
      <w:sz w:val="21"/>
      <w:szCs w:val="32"/>
      <w:lang w:val="en-US" w:eastAsia="zh-CN" w:bidi="ar-SA"/>
    </w:rPr>
  </w:style>
  <w:style w:type="character" w:customStyle="1" w:styleId="1818">
    <w:name w:val="批注主题 字符"/>
    <w:semiHidden/>
    <w:qFormat/>
    <w:uiPriority w:val="0"/>
    <w:rPr>
      <w:rFonts w:ascii="Times New Roman" w:hAnsi="Times New Roman" w:eastAsia="宋体" w:cs="Times New Roman"/>
      <w:b/>
      <w:bCs/>
      <w:kern w:val="2"/>
      <w:sz w:val="21"/>
      <w:szCs w:val="24"/>
      <w:lang w:val="en-US" w:eastAsia="zh-CN" w:bidi="ar-SA"/>
    </w:rPr>
  </w:style>
  <w:style w:type="character" w:customStyle="1" w:styleId="1819">
    <w:name w:val="标题 7 字符"/>
    <w:qFormat/>
    <w:uiPriority w:val="0"/>
    <w:rPr>
      <w:rFonts w:ascii="宋体" w:hAnsi="Times New Roman" w:eastAsia="仿宋_GB2312" w:cs="Times New Roman"/>
      <w:b/>
      <w:sz w:val="24"/>
      <w:lang w:val="en-US" w:eastAsia="zh-CN" w:bidi="ar-SA"/>
    </w:rPr>
  </w:style>
  <w:style w:type="character" w:customStyle="1" w:styleId="1820">
    <w:name w:val="标题 6 字符"/>
    <w:qFormat/>
    <w:uiPriority w:val="0"/>
    <w:rPr>
      <w:rFonts w:ascii="Arial" w:hAnsi="Arial" w:eastAsia="黑体" w:cs="Times New Roman"/>
      <w:b/>
      <w:sz w:val="24"/>
      <w:lang w:val="en-US" w:eastAsia="zh-CN" w:bidi="ar-SA"/>
    </w:rPr>
  </w:style>
  <w:style w:type="character" w:customStyle="1" w:styleId="1821">
    <w:name w:val="正文文本缩进 2 字符"/>
    <w:qFormat/>
    <w:uiPriority w:val="0"/>
    <w:rPr>
      <w:rFonts w:ascii="宋体" w:hAnsi="Times New Roman" w:eastAsia="宋体" w:cs="Times New Roman"/>
      <w:i/>
      <w:kern w:val="2"/>
      <w:sz w:val="24"/>
      <w:lang w:val="en-US" w:eastAsia="zh-CN" w:bidi="ar-SA"/>
    </w:rPr>
  </w:style>
  <w:style w:type="character" w:customStyle="1" w:styleId="1822">
    <w:name w:val="标题 4 字符"/>
    <w:qFormat/>
    <w:uiPriority w:val="0"/>
    <w:rPr>
      <w:rFonts w:ascii="宋体" w:hAnsi="宋体" w:eastAsia="宋体" w:cs="Times New Roman"/>
      <w:b/>
      <w:bCs/>
      <w:kern w:val="2"/>
      <w:sz w:val="24"/>
      <w:szCs w:val="24"/>
      <w:lang w:val="en-US" w:eastAsia="zh-CN" w:bidi="ar-SA"/>
    </w:rPr>
  </w:style>
  <w:style w:type="character" w:customStyle="1" w:styleId="1823">
    <w:name w:val="尾注文本 字符"/>
    <w:qFormat/>
    <w:uiPriority w:val="0"/>
    <w:rPr>
      <w:rFonts w:ascii="Times New Roman" w:hAnsi="Times New Roman" w:eastAsia="宋体" w:cs="Times New Roman"/>
      <w:sz w:val="21"/>
      <w:szCs w:val="24"/>
      <w:lang w:val="en-US" w:eastAsia="zh-CN" w:bidi="ar-SA"/>
    </w:rPr>
  </w:style>
  <w:style w:type="character" w:customStyle="1" w:styleId="1824">
    <w:name w:val="日期 字符"/>
    <w:qFormat/>
    <w:uiPriority w:val="0"/>
    <w:rPr>
      <w:rFonts w:ascii="Times New Roman" w:hAnsi="Times New Roman" w:eastAsia="宋体" w:cs="Times New Roman"/>
      <w:kern w:val="2"/>
      <w:sz w:val="21"/>
      <w:lang w:val="en-US" w:eastAsia="zh-CN" w:bidi="ar-SA"/>
    </w:rPr>
  </w:style>
  <w:style w:type="character" w:customStyle="1" w:styleId="1825">
    <w:name w:val="标题 1 字符"/>
    <w:qFormat/>
    <w:locked/>
    <w:uiPriority w:val="0"/>
    <w:rPr>
      <w:rFonts w:ascii="Times New Roman" w:hAnsi="Times New Roman" w:eastAsia="宋体" w:cs="Times New Roman"/>
      <w:b/>
      <w:bCs/>
      <w:kern w:val="44"/>
      <w:sz w:val="44"/>
      <w:szCs w:val="44"/>
      <w:lang w:val="en-US" w:eastAsia="zh-CN" w:bidi="ar-SA"/>
    </w:rPr>
  </w:style>
  <w:style w:type="character" w:customStyle="1" w:styleId="1826">
    <w:name w:val="批注框文本 字符"/>
    <w:qFormat/>
    <w:uiPriority w:val="0"/>
    <w:rPr>
      <w:rFonts w:ascii="Times New Roman" w:hAnsi="Times New Roman" w:eastAsia="宋体" w:cs="Times New Roman"/>
      <w:kern w:val="2"/>
      <w:sz w:val="18"/>
      <w:szCs w:val="18"/>
      <w:lang w:val="en-US" w:eastAsia="zh-CN" w:bidi="ar-SA"/>
    </w:rPr>
  </w:style>
  <w:style w:type="character" w:customStyle="1" w:styleId="1827">
    <w:name w:val="Char Char53"/>
    <w:qFormat/>
    <w:uiPriority w:val="0"/>
    <w:rPr>
      <w:rFonts w:ascii="Times New Roman" w:hAnsi="Times New Roman" w:eastAsia="宋体" w:cs="Times New Roman"/>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rFonts w:ascii="Times New Roman" w:hAnsi="Times New Roman" w:eastAsia="宋体" w:cs="Times New Roman"/>
      <w:color w:val="605E5C"/>
      <w:shd w:val="clear" w:color="auto" w:fill="E1DFDD"/>
      <w:lang w:val="en-US" w:eastAsia="zh-CN" w:bidi="ar-SA"/>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79"/>
    <w:unhideWhenUsed/>
    <w:qFormat/>
    <w:uiPriority w:val="99"/>
    <w:rPr>
      <w:rFonts w:ascii="Times New Roman" w:hAnsi="Times New Roman" w:eastAsia="宋体" w:cs="Times New Roman"/>
      <w:color w:val="605E5C"/>
      <w:shd w:val="clear" w:color="auto" w:fill="E1DFDD"/>
      <w:lang w:val="en-US" w:eastAsia="zh-CN" w:bidi="ar-SA"/>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 w:type="paragraph" w:customStyle="1" w:styleId="1853">
    <w:name w:val="列出段落21"/>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0" Type="http://schemas.openxmlformats.org/officeDocument/2006/relationships/fontTable" Target="fontTable.xml"/><Relationship Id="rId4" Type="http://schemas.openxmlformats.org/officeDocument/2006/relationships/header" Target="header1.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image" Target="media/image15.jpeg"/><Relationship Id="rId36" Type="http://schemas.openxmlformats.org/officeDocument/2006/relationships/image" Target="media/image14.jpeg"/><Relationship Id="rId35" Type="http://schemas.openxmlformats.org/officeDocument/2006/relationships/image" Target="media/image13.jpeg"/><Relationship Id="rId34" Type="http://schemas.openxmlformats.org/officeDocument/2006/relationships/image" Target="media/image12.jpeg"/><Relationship Id="rId33" Type="http://schemas.openxmlformats.org/officeDocument/2006/relationships/image" Target="media/image11.jpeg"/><Relationship Id="rId32" Type="http://schemas.openxmlformats.org/officeDocument/2006/relationships/image" Target="media/image10.jpeg"/><Relationship Id="rId31" Type="http://schemas.openxmlformats.org/officeDocument/2006/relationships/image" Target="media/image9.jpeg"/><Relationship Id="rId30" Type="http://schemas.openxmlformats.org/officeDocument/2006/relationships/image" Target="media/image8.jpeg"/><Relationship Id="rId3" Type="http://schemas.openxmlformats.org/officeDocument/2006/relationships/footer" Target="footer1.xml"/><Relationship Id="rId29" Type="http://schemas.openxmlformats.org/officeDocument/2006/relationships/image" Target="media/image7.jpeg"/><Relationship Id="rId28" Type="http://schemas.openxmlformats.org/officeDocument/2006/relationships/image" Target="media/image6.jpeg"/><Relationship Id="rId27" Type="http://schemas.openxmlformats.org/officeDocument/2006/relationships/image" Target="media/image5.jpeg"/><Relationship Id="rId26" Type="http://schemas.openxmlformats.org/officeDocument/2006/relationships/image" Target="media/image4.jpeg"/><Relationship Id="rId25" Type="http://schemas.openxmlformats.org/officeDocument/2006/relationships/image" Target="media/image3.jpeg"/><Relationship Id="rId24" Type="http://schemas.openxmlformats.org/officeDocument/2006/relationships/image" Target="media/image2.jpeg"/><Relationship Id="rId23" Type="http://schemas.openxmlformats.org/officeDocument/2006/relationships/image" Target="media/image1.jpeg"/><Relationship Id="rId22" Type="http://schemas.openxmlformats.org/officeDocument/2006/relationships/theme" Target="theme/theme1.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170</Pages>
  <Words>17221</Words>
  <Characters>98162</Characters>
  <Lines>818</Lines>
  <Paragraphs>230</Paragraphs>
  <ScaleCrop>false</ScaleCrop>
  <LinksUpToDate>false</LinksUpToDate>
  <CharactersWithSpaces>115153</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贾思勰</cp:lastModifiedBy>
  <cp:lastPrinted>2019-07-29T07:57:00Z</cp:lastPrinted>
  <dcterms:modified xsi:type="dcterms:W3CDTF">2020-04-09T09:52:48Z</dcterms:modified>
  <dc:title>杭州萧山国际机场服务类项目招标文件示范文本</dc:title>
  <cp:revision>156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